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40"/>
        </w:rPr>
      </w:pPr>
      <w:r>
        <w:rPr>
          <w:b/>
          <w:sz w:val="28"/>
          <w:szCs w:val="40"/>
        </w:rPr>
        <w:t xml:space="preserve">ПРАВИТЕЛЬСТВО</w:t>
      </w:r>
      <w:r>
        <w:rPr>
          <w:b/>
          <w:sz w:val="28"/>
          <w:szCs w:val="40"/>
        </w:rPr>
      </w:r>
      <w:r>
        <w:rPr>
          <w:b/>
          <w:sz w:val="28"/>
          <w:szCs w:val="40"/>
        </w:rPr>
      </w:r>
    </w:p>
    <w:p>
      <w:pPr>
        <w:jc w:val="center"/>
        <w:spacing w:after="240"/>
        <w:rPr>
          <w:b/>
          <w:sz w:val="28"/>
          <w:szCs w:val="40"/>
        </w:rPr>
      </w:pPr>
      <w:r>
        <w:rPr>
          <w:b/>
          <w:sz w:val="28"/>
          <w:szCs w:val="40"/>
        </w:rPr>
        <w:t xml:space="preserve">ХАНТЫ-МАНСИЙСКОГО АВТОНОМНОГО ОКРУГА - ЮГРЫ</w:t>
      </w:r>
      <w:r>
        <w:rPr>
          <w:b/>
          <w:sz w:val="28"/>
          <w:szCs w:val="40"/>
        </w:rPr>
      </w:r>
      <w:r>
        <w:rPr>
          <w:b/>
          <w:sz w:val="28"/>
          <w:szCs w:val="40"/>
        </w:rPr>
      </w:r>
    </w:p>
    <w:p>
      <w:pPr>
        <w:jc w:val="center"/>
        <w:spacing w:after="240"/>
        <w:rPr>
          <w:b/>
          <w:sz w:val="28"/>
          <w:szCs w:val="40"/>
        </w:rPr>
      </w:pPr>
      <w:r>
        <w:rPr>
          <w:b/>
          <w:sz w:val="28"/>
          <w:szCs w:val="40"/>
        </w:rPr>
        <w:t xml:space="preserve">РАСПОРЯЖЕНИЕ</w:t>
      </w:r>
      <w:r>
        <w:rPr>
          <w:b/>
          <w:sz w:val="28"/>
          <w:szCs w:val="40"/>
        </w:rPr>
      </w:r>
      <w:r>
        <w:rPr>
          <w:b/>
          <w:sz w:val="28"/>
          <w:szCs w:val="40"/>
        </w:rPr>
      </w:r>
    </w:p>
    <w:p>
      <w:pPr>
        <w:pStyle w:val="797"/>
        <w:jc w:val="both"/>
        <w:spacing w:after="0" w:afterAutospacing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797"/>
        <w:jc w:val="both"/>
        <w:spacing w:after="0" w:afterAutospacing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tbl>
      <w:tblPr>
        <w:tblW w:w="0" w:type="auto"/>
        <w:tblInd w:w="2235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3273"/>
        <w:gridCol w:w="1971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73" w:type="dxa"/>
            <w:vAlign w:val="top"/>
            <w:textDirection w:val="lrTb"/>
            <w:noWrap w:val="false"/>
          </w:tcPr>
          <w:p>
            <w:pPr>
              <w:pStyle w:val="797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октября 2024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971" w:type="dxa"/>
            <w:vAlign w:val="top"/>
            <w:textDirection w:val="lrTb"/>
            <w:noWrap w:val="false"/>
          </w:tcPr>
          <w:p>
            <w:pPr>
              <w:pStyle w:val="797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496-рп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Style w:val="797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97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основных направлениях налоговой, бюджетной и долговой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политики Ханты-Мансийского автономного округа – Югры, характеристиках бюджета Ханты-Мансийского автономного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округа – Югры на 202</w:t>
      </w:r>
      <w:r>
        <w:rPr>
          <w:b/>
          <w:bCs/>
          <w:sz w:val="28"/>
          <w:szCs w:val="28"/>
        </w:rPr>
        <w:t xml:space="preserve">5</w:t>
      </w:r>
      <w:r>
        <w:rPr>
          <w:b/>
          <w:bCs/>
          <w:sz w:val="28"/>
          <w:szCs w:val="28"/>
        </w:rPr>
        <w:t xml:space="preserve"> год и на плановый период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widowControl w:val="off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202</w:t>
      </w:r>
      <w:r>
        <w:rPr>
          <w:b/>
          <w:bCs/>
          <w:sz w:val="28"/>
          <w:szCs w:val="28"/>
        </w:rPr>
        <w:t xml:space="preserve">6</w:t>
      </w:r>
      <w:r>
        <w:rPr>
          <w:b/>
          <w:bCs/>
          <w:sz w:val="28"/>
          <w:szCs w:val="28"/>
        </w:rPr>
        <w:t xml:space="preserve"> и 202</w:t>
      </w:r>
      <w:r>
        <w:rPr>
          <w:b/>
          <w:bCs/>
          <w:sz w:val="28"/>
          <w:szCs w:val="28"/>
        </w:rPr>
        <w:t xml:space="preserve">7</w:t>
      </w:r>
      <w:r>
        <w:rPr>
          <w:b/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rFonts w:eastAsia="Courier New"/>
          <w:sz w:val="28"/>
          <w:szCs w:val="28"/>
        </w:rPr>
      </w:pPr>
      <w:r>
        <w:rPr>
          <w:sz w:val="28"/>
          <w:szCs w:val="28"/>
        </w:rPr>
        <w:t xml:space="preserve">В соответствии с Законом Ханты-Мансийского автономного </w:t>
      </w:r>
      <w:r>
        <w:rPr>
          <w:sz w:val="28"/>
          <w:szCs w:val="28"/>
        </w:rPr>
        <w:br/>
        <w:t xml:space="preserve">округа – Югры от 20 июля 2007 года № 99-оз «</w:t>
      </w:r>
      <w:r>
        <w:rPr>
          <w:sz w:val="28"/>
          <w:szCs w:val="28"/>
        </w:rPr>
        <w:t xml:space="preserve">Об отдельных вопросах организации и осуществления бюджетного процесса в Ханты-Мансийском автономном округе – Югре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, постановлением Правительства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Ханты-Мансийского автономного округа – Югры от 30 апреля 2014 года № 154-п «</w:t>
      </w:r>
      <w:r>
        <w:rPr>
          <w:sz w:val="28"/>
          <w:szCs w:val="28"/>
        </w:rPr>
        <w:t xml:space="preserve">О Порядке составления проекта закона о бюджете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Ханты-Мансийского автономного округа – Югры и проекта закона о бюджете территориального фонда обязательного медицинского страхования Ханты-Мансийского автономного округа – Югры на очередной финансовый год и плановый период</w:t>
      </w:r>
      <w:r>
        <w:rPr>
          <w:sz w:val="28"/>
          <w:szCs w:val="28"/>
        </w:rPr>
        <w:t xml:space="preserve">»,</w:t>
      </w:r>
      <w:r>
        <w:rPr>
          <w:rFonts w:eastAsia="Courier New"/>
          <w:sz w:val="28"/>
          <w:szCs w:val="28"/>
        </w:rPr>
        <w:t xml:space="preserve"> учитывая решения комиссии по бюджетным проектировкам на 2025 год и на плановый период 2026 и 2027 годов (протокол заседания от 3 октября 2024 года № 2), </w:t>
      </w:r>
      <w:r>
        <w:rPr>
          <w:rFonts w:eastAsia="Courier New"/>
          <w:sz w:val="28"/>
          <w:szCs w:val="28"/>
        </w:rPr>
        <w:t xml:space="preserve">Общественного совета при Департаменте финансов Ханты-Мансийского автономного округа – Югры</w:t>
      </w:r>
      <w:r>
        <w:rPr>
          <w:rFonts w:eastAsia="Courier New"/>
          <w:sz w:val="28"/>
          <w:szCs w:val="28"/>
        </w:rPr>
        <w:t xml:space="preserve"> (протокол заседания от 9 </w:t>
      </w:r>
      <w:r>
        <w:rPr>
          <w:rFonts w:eastAsia="Courier New"/>
          <w:sz w:val="28"/>
          <w:szCs w:val="28"/>
        </w:rPr>
        <w:t xml:space="preserve">октября</w:t>
      </w:r>
      <w:r>
        <w:rPr>
          <w:rFonts w:eastAsia="Courier New"/>
          <w:sz w:val="28"/>
          <w:szCs w:val="28"/>
        </w:rPr>
        <w:t xml:space="preserve"> 202</w:t>
      </w:r>
      <w:r>
        <w:rPr>
          <w:rFonts w:eastAsia="Courier New"/>
          <w:sz w:val="28"/>
          <w:szCs w:val="28"/>
        </w:rPr>
        <w:t xml:space="preserve">4</w:t>
      </w:r>
      <w:r>
        <w:rPr>
          <w:rFonts w:eastAsia="Courier New"/>
          <w:sz w:val="28"/>
          <w:szCs w:val="28"/>
        </w:rPr>
        <w:t xml:space="preserve"> года №</w:t>
      </w:r>
      <w:r>
        <w:rPr>
          <w:rFonts w:eastAsia="Courier New"/>
          <w:sz w:val="28"/>
          <w:szCs w:val="28"/>
        </w:rPr>
        <w:t xml:space="preserve"> 18</w:t>
      </w:r>
      <w:r>
        <w:rPr>
          <w:rFonts w:eastAsia="Courier New"/>
          <w:sz w:val="28"/>
          <w:szCs w:val="28"/>
        </w:rPr>
        <w:t xml:space="preserve">)</w:t>
      </w:r>
      <w:r>
        <w:rPr>
          <w:sz w:val="28"/>
          <w:szCs w:val="28"/>
        </w:rPr>
        <w:t xml:space="preserve">:</w:t>
      </w:r>
      <w:r>
        <w:rPr>
          <w:rFonts w:eastAsia="Courier New"/>
          <w:sz w:val="28"/>
          <w:szCs w:val="28"/>
        </w:rPr>
      </w:r>
      <w:r>
        <w:rPr>
          <w:rFonts w:eastAsia="Courier New"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27"/>
        </w:numPr>
        <w:ind w:left="0" w:firstLine="709"/>
        <w:jc w:val="both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Одобрить: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1"/>
          <w:numId w:val="27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</w:t>
      </w:r>
      <w:r>
        <w:rPr>
          <w:bCs/>
          <w:sz w:val="28"/>
          <w:szCs w:val="28"/>
        </w:rPr>
        <w:t xml:space="preserve">сновные направления налоговой, бюджетной и долговой политики </w:t>
      </w:r>
      <w:r>
        <w:rPr>
          <w:sz w:val="28"/>
          <w:szCs w:val="28"/>
        </w:rPr>
        <w:t xml:space="preserve">Ханты</w:t>
      </w:r>
      <w:r>
        <w:rPr>
          <w:sz w:val="28"/>
          <w:szCs w:val="28"/>
        </w:rPr>
        <w:t xml:space="preserve">-Мансийского автономного округа </w:t>
      </w:r>
      <w:r>
        <w:rPr>
          <w:sz w:val="28"/>
          <w:szCs w:val="28"/>
        </w:rPr>
        <w:t xml:space="preserve">– Югры на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годов (приложение 1).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1"/>
          <w:numId w:val="27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Характеристики бюджета Ханты-Мансийского автономного округа – Югры на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годов (приложение 2).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Исполнительным органам Ханты</w:t>
      </w:r>
      <w:r>
        <w:rPr>
          <w:sz w:val="28"/>
          <w:szCs w:val="28"/>
        </w:rPr>
        <w:t xml:space="preserve">-Мансийского автономного </w:t>
      </w:r>
      <w:r>
        <w:rPr>
          <w:sz w:val="28"/>
          <w:szCs w:val="28"/>
        </w:rPr>
        <w:br/>
        <w:t xml:space="preserve">округа </w:t>
      </w:r>
      <w:r>
        <w:rPr>
          <w:sz w:val="28"/>
          <w:szCs w:val="28"/>
        </w:rPr>
        <w:t xml:space="preserve">– Югры при подготовке региональных проектов, государственных программ Ханты-Мансийс</w:t>
      </w:r>
      <w:r>
        <w:rPr>
          <w:sz w:val="28"/>
          <w:szCs w:val="28"/>
        </w:rPr>
        <w:t xml:space="preserve">кого автономного округа – Югры </w:t>
      </w:r>
      <w:r>
        <w:rPr>
          <w:sz w:val="28"/>
          <w:szCs w:val="28"/>
        </w:rPr>
        <w:t xml:space="preserve">руководствоваться основными направлениями налоговой, бюджетной и долговой политики Ханты-Мансийского автономного округа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Югры на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годов.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Рекомендовать органам местного самоуправления муниципальных образований Ханты-Мансийского автономного округа – Югры при подготовке проектов муниципальных программ, местных бюджетов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на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годов руководствоваться основными направлениями налоговой, бюджетной и долговой политики Ханты-Мансийского автономного округа – Югры на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годов.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Направить настоящее распоряжение в Думу Ханты-Мансийского автономного округа – Югры.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Губернатор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Ханты-Мансийского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автономного округа – Югры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Р.</w:t>
      </w:r>
      <w:r>
        <w:rPr>
          <w:sz w:val="28"/>
          <w:szCs w:val="28"/>
        </w:rPr>
        <w:t xml:space="preserve">Н.К</w:t>
      </w:r>
      <w:r>
        <w:rPr>
          <w:sz w:val="28"/>
          <w:szCs w:val="28"/>
        </w:rPr>
        <w:t xml:space="preserve">ухарук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5"/>
        <w:jc w:val="center"/>
        <w:rPr>
          <w:b w:val="0"/>
        </w:rPr>
      </w:pPr>
      <w:r>
        <w:rPr>
          <w:b w:val="0"/>
        </w:rPr>
        <w:br w:type="page" w:clear="all"/>
      </w:r>
      <w:r>
        <w:rPr>
          <w:b w:val="0"/>
        </w:rPr>
      </w:r>
      <w:r>
        <w:rPr>
          <w:b w:val="0"/>
        </w:rPr>
      </w:r>
    </w:p>
    <w:p>
      <w:pPr>
        <w:pStyle w:val="985"/>
        <w:rPr>
          <w:b w:val="0"/>
        </w:rPr>
      </w:pPr>
      <w:r>
        <w:rPr>
          <w:b w:val="0"/>
        </w:rPr>
        <w:t xml:space="preserve">Приложение 1</w:t>
      </w:r>
      <w:r>
        <w:rPr>
          <w:b w:val="0"/>
        </w:rPr>
      </w:r>
      <w:r>
        <w:rPr>
          <w:b w:val="0"/>
        </w:rPr>
      </w:r>
    </w:p>
    <w:p>
      <w:pPr>
        <w:pStyle w:val="985"/>
        <w:rPr>
          <w:b w:val="0"/>
        </w:rPr>
      </w:pPr>
      <w:r>
        <w:rPr>
          <w:b w:val="0"/>
        </w:rPr>
        <w:t xml:space="preserve">к распоряжению Правительства</w:t>
      </w:r>
      <w:r>
        <w:rPr>
          <w:b w:val="0"/>
        </w:rPr>
      </w:r>
      <w:r>
        <w:rPr>
          <w:b w:val="0"/>
        </w:rPr>
      </w:r>
    </w:p>
    <w:p>
      <w:pPr>
        <w:pStyle w:val="985"/>
        <w:rPr>
          <w:b w:val="0"/>
        </w:rPr>
      </w:pPr>
      <w:r>
        <w:rPr>
          <w:b w:val="0"/>
        </w:rPr>
        <w:t xml:space="preserve">Ханты-Мансийского</w:t>
      </w:r>
      <w:r>
        <w:rPr>
          <w:b w:val="0"/>
        </w:rPr>
      </w:r>
      <w:r>
        <w:rPr>
          <w:b w:val="0"/>
        </w:rPr>
      </w:r>
    </w:p>
    <w:p>
      <w:pPr>
        <w:pStyle w:val="985"/>
        <w:rPr>
          <w:b w:val="0"/>
        </w:rPr>
      </w:pPr>
      <w:r>
        <w:rPr>
          <w:b w:val="0"/>
        </w:rPr>
        <w:t xml:space="preserve">автономного округа – Югры</w:t>
      </w:r>
      <w:r>
        <w:rPr>
          <w:b w:val="0"/>
        </w:rPr>
      </w:r>
      <w:r>
        <w:rPr>
          <w:b w:val="0"/>
        </w:rPr>
      </w:r>
    </w:p>
    <w:p>
      <w:pPr>
        <w:pStyle w:val="985"/>
        <w:rPr>
          <w:b w:val="0"/>
        </w:rPr>
      </w:pPr>
      <w:r>
        <w:rPr>
          <w:b w:val="0"/>
        </w:rPr>
        <w:t xml:space="preserve">от</w:t>
      </w:r>
      <w:r>
        <w:rPr>
          <w:b w:val="0"/>
        </w:rPr>
        <w:t xml:space="preserve"> 10 октября 2024 года </w:t>
      </w:r>
      <w:r>
        <w:rPr>
          <w:b w:val="0"/>
        </w:rPr>
        <w:t xml:space="preserve">№ 496-рп</w:t>
      </w:r>
      <w:r>
        <w:rPr>
          <w:b w:val="0"/>
        </w:rPr>
      </w:r>
      <w:r>
        <w:rPr>
          <w:b w:val="0"/>
        </w:rPr>
      </w:r>
    </w:p>
    <w:p>
      <w:pPr>
        <w:jc w:val="center"/>
        <w:widowControl w:val="off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jc w:val="center"/>
        <w:widowControl w:val="off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Основные направления налоговой, бюджетной и долговой политики Ханты-Мансийского автономного округа – Югры на 202</w:t>
      </w:r>
      <w:r>
        <w:rPr>
          <w:bCs/>
          <w:sz w:val="28"/>
          <w:szCs w:val="28"/>
        </w:rPr>
        <w:t xml:space="preserve">5</w:t>
      </w:r>
      <w:r>
        <w:rPr>
          <w:bCs/>
          <w:sz w:val="28"/>
          <w:szCs w:val="28"/>
        </w:rPr>
        <w:t xml:space="preserve"> год 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jc w:val="center"/>
        <w:widowControl w:val="off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 на плановый период 202</w:t>
      </w:r>
      <w:r>
        <w:rPr>
          <w:bCs/>
          <w:sz w:val="28"/>
          <w:szCs w:val="28"/>
        </w:rPr>
        <w:t xml:space="preserve">6</w:t>
      </w:r>
      <w:r>
        <w:rPr>
          <w:bCs/>
          <w:sz w:val="28"/>
          <w:szCs w:val="28"/>
        </w:rPr>
        <w:t xml:space="preserve"> и 202</w:t>
      </w:r>
      <w:r>
        <w:rPr>
          <w:bCs/>
          <w:sz w:val="28"/>
          <w:szCs w:val="28"/>
        </w:rPr>
        <w:t xml:space="preserve">7</w:t>
      </w:r>
      <w:r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94"/>
        <w:ind w:firstLine="709"/>
        <w:jc w:val="both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Основные направления налоговой, бюджетной и долговой политики Ханты-Мансийского автономного округа – Югры на 2025 год и на плановый период 2026 и 2027 годов (далее также – </w:t>
      </w:r>
      <w:r>
        <w:rPr>
          <w:bCs/>
          <w:sz w:val="28"/>
          <w:szCs w:val="28"/>
        </w:rPr>
        <w:t xml:space="preserve">автономный округ, </w:t>
      </w:r>
      <w:r>
        <w:rPr>
          <w:bCs/>
          <w:sz w:val="28"/>
          <w:szCs w:val="28"/>
        </w:rPr>
        <w:t xml:space="preserve">основные направления налоговой, бюджетной и д</w:t>
      </w:r>
      <w:r>
        <w:rPr>
          <w:bCs/>
          <w:sz w:val="28"/>
          <w:szCs w:val="28"/>
        </w:rPr>
        <w:t xml:space="preserve">олговой политики автономного округа на 2025 – 2027 годы) разработаны в соответствии со статьей 172 Бюджетного кодекса Российской Федерации, с учетом Послания Президента Российской Федерации Федеральному Собранию Российской Федерации от 29 февраля 2024 года</w:t>
      </w:r>
      <w:r>
        <w:rPr>
          <w:bCs/>
          <w:sz w:val="28"/>
          <w:szCs w:val="28"/>
        </w:rPr>
        <w:t xml:space="preserve"> (далее – послание Президента Российской Федерации), указов Президента Российской Федерации от 7 мая 2012 года № 597 «О мероприятиях по реализации государственной социальной политики» (далее – Указ № 597), от 1 июня 2012 года № 761 «О Национальной стратеги</w:t>
      </w:r>
      <w:r>
        <w:rPr>
          <w:bCs/>
          <w:sz w:val="28"/>
          <w:szCs w:val="28"/>
        </w:rPr>
        <w:t xml:space="preserve">и действий в интересах детей на 2012 – 2017 годы» (далее – Указ № 761),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 (далее – Указ № 1688), </w:t>
      </w:r>
      <w:r>
        <w:rPr>
          <w:bCs/>
          <w:sz w:val="28"/>
          <w:szCs w:val="28"/>
        </w:rPr>
        <w:t xml:space="preserve">от 4 февраля 2021 года № 68 «Об оценке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Федерации», </w:t>
      </w:r>
      <w:r>
        <w:rPr>
          <w:bCs/>
          <w:sz w:val="28"/>
          <w:szCs w:val="28"/>
        </w:rPr>
        <w:t xml:space="preserve">от 7 мая </w:t>
      </w:r>
      <w:r>
        <w:rPr>
          <w:bCs/>
          <w:sz w:val="28"/>
          <w:szCs w:val="28"/>
        </w:rPr>
        <w:t xml:space="preserve">2024</w:t>
      </w:r>
      <w:r>
        <w:rPr>
          <w:bCs/>
          <w:sz w:val="28"/>
          <w:szCs w:val="28"/>
        </w:rPr>
        <w:t xml:space="preserve"> </w:t>
      </w:r>
      <w:r>
        <w:rPr>
          <w:bCs/>
          <w:sz w:val="28"/>
          <w:szCs w:val="28"/>
        </w:rPr>
        <w:t xml:space="preserve">года № 309 «О национальных целях развития Российской Федерации на период до 2030 года и на перспективу до 2036 года» (далее – Указ № 309), Стратегии социально-экономического развития </w:t>
      </w:r>
      <w:r>
        <w:rPr>
          <w:bCs/>
          <w:sz w:val="28"/>
          <w:szCs w:val="28"/>
        </w:rPr>
        <w:t xml:space="preserve">автономного округа</w:t>
      </w:r>
      <w:r>
        <w:rPr>
          <w:bCs/>
          <w:sz w:val="28"/>
          <w:szCs w:val="28"/>
        </w:rPr>
        <w:t xml:space="preserve"> до 2036 </w:t>
      </w:r>
      <w:r>
        <w:rPr>
          <w:bCs/>
          <w:sz w:val="28"/>
          <w:szCs w:val="28"/>
        </w:rPr>
        <w:t xml:space="preserve">года с целевыми ориентирами до 2050 года, </w:t>
      </w:r>
      <w:r>
        <w:rPr>
          <w:bCs/>
          <w:sz w:val="28"/>
          <w:szCs w:val="28"/>
        </w:rPr>
        <w:t xml:space="preserve">утвержденной распоряжением Правительства автономного округа от 3 ноября 2022 года № 679-рп, </w:t>
      </w:r>
      <w:r>
        <w:rPr>
          <w:bCs/>
          <w:sz w:val="28"/>
          <w:szCs w:val="28"/>
        </w:rPr>
        <w:t xml:space="preserve">Стратегии цифровой трансформации автономного округа, </w:t>
      </w:r>
      <w:r>
        <w:rPr>
          <w:bCs/>
          <w:sz w:val="28"/>
          <w:szCs w:val="28"/>
        </w:rPr>
        <w:t xml:space="preserve">утвержденной распоряжением Правительства автономного округа от 2 июля 2021 года №</w:t>
      </w:r>
      <w:r>
        <w:rPr>
          <w:bCs/>
          <w:sz w:val="28"/>
          <w:szCs w:val="28"/>
        </w:rPr>
        <w:t xml:space="preserve"> </w:t>
      </w:r>
      <w:r>
        <w:rPr>
          <w:bCs/>
          <w:sz w:val="28"/>
          <w:szCs w:val="28"/>
        </w:rPr>
        <w:t xml:space="preserve">359-рп, </w:t>
      </w:r>
      <w:r>
        <w:rPr>
          <w:bCs/>
          <w:sz w:val="28"/>
          <w:szCs w:val="28"/>
        </w:rPr>
        <w:t xml:space="preserve">бюджетного прогноза </w:t>
      </w:r>
      <w:r>
        <w:rPr>
          <w:bCs/>
          <w:sz w:val="28"/>
          <w:szCs w:val="28"/>
        </w:rPr>
        <w:t xml:space="preserve">автономного округа</w:t>
      </w:r>
      <w:r>
        <w:rPr>
          <w:bCs/>
          <w:sz w:val="28"/>
          <w:szCs w:val="28"/>
        </w:rPr>
        <w:t xml:space="preserve"> на период 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до 2036 года</w:t>
      </w:r>
      <w:r>
        <w:rPr>
          <w:bCs/>
          <w:sz w:val="28"/>
          <w:szCs w:val="28"/>
        </w:rPr>
        <w:t xml:space="preserve">, утвержденного</w:t>
      </w:r>
      <w:r>
        <w:t xml:space="preserve"> </w:t>
      </w:r>
      <w:r>
        <w:rPr>
          <w:bCs/>
          <w:sz w:val="28"/>
          <w:szCs w:val="28"/>
        </w:rPr>
        <w:t xml:space="preserve">распоряжением Правительства автономного округа от 25 января 2019 года № 20-рп</w:t>
      </w:r>
      <w:r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98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Целью разработки основных направлений налоговой, бюджетной и долговой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политики автономного округа на 2025 – 2027 годы является определение на ближайший трехлетний период базовых принципов, условий и подходов, используемых при составлении проекта бюджета автономного округа на 2025 год и на плановый период 2026 и 2027 годов. 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основу разработки основных направлений налоговой, бюджетной и долговой политики автономного окру</w:t>
      </w:r>
      <w:r>
        <w:rPr>
          <w:rFonts w:ascii="Times New Roman" w:hAnsi="Times New Roman" w:cs="Times New Roman"/>
          <w:bCs/>
          <w:sz w:val="28"/>
          <w:szCs w:val="28"/>
        </w:rPr>
        <w:t xml:space="preserve">га на 2025 – 2027 годы принят базовый вариант сценарных условий прогноза социально-экономического развития автономного округа на 2025 год и на плановый период 2026 и 2027 годов, учитывающий наиболее вероятный сценарий развития экономики автономного округа.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3"/>
        <w:ind w:left="0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>
        <w:rPr>
          <w:rFonts w:ascii="Times New Roman" w:hAnsi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/>
          <w:sz w:val="28"/>
          <w:szCs w:val="28"/>
        </w:rPr>
        <w:t xml:space="preserve">. Основные направления </w:t>
      </w:r>
      <w:r>
        <w:rPr>
          <w:rFonts w:ascii="Times New Roman" w:hAnsi="Times New Roman"/>
          <w:bCs/>
          <w:sz w:val="28"/>
          <w:szCs w:val="28"/>
        </w:rPr>
        <w:t xml:space="preserve">налоговой</w:t>
      </w:r>
      <w:r>
        <w:rPr>
          <w:rFonts w:ascii="Times New Roman" w:hAnsi="Times New Roman"/>
          <w:sz w:val="28"/>
          <w:szCs w:val="28"/>
        </w:rPr>
        <w:t xml:space="preserve"> политики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83"/>
        <w:ind w:left="0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Ханты-Мансийского автономного округа – Югры на 2025 год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83"/>
        <w:ind w:left="0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на плановый период 2026 и 2027 годов, основные подходы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83"/>
        <w:ind w:left="0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ее формированию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83"/>
        <w:ind w:left="0" w:firstLine="425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С учетом приоритетов федеральной налоговой политики ключевыми ориентирами налоговой политики автономного округа в среднесрочной перспективе являются достижение националь</w:t>
      </w:r>
      <w:r>
        <w:rPr>
          <w:rFonts w:eastAsia="TimesNewRoman"/>
          <w:sz w:val="28"/>
          <w:szCs w:val="28"/>
        </w:rPr>
        <w:t xml:space="preserve">ных целей развития Российской Федерации, увеличение доходного потенциала консолидированного бюджета автономного округа, сохранение социальной и финансовой стабильности, создание условий для устойчивого социально-экономического развития автономного округа. 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Основные задачи налоговой политики автономного округа в 2023 году выполнены, в том числе обеспечена сбалансированность бюджетной системы региона, финансирование всех расходных обязательств бюджета автономного округа в полном объеме.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Реализация комплекса мер налогового регулирования в 2023 году была направлена на создание благоприятных условий для привлечения инвестиций в регион, на реализацию важнейших для экономики региона проектов и поддержку малого и среднего бизнеса.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Результатом всех принимаемых в автономном округе мер поддержки организаций, индивидуальных предпринимателей является рост инвестиций, создание новых рабочих мест и, как следствие, рост валового регионального продукта.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Малый бизнес также демонстрирует положительные результаты. По итогам 2023 года количество зарегистрированных в регионе субъектов малого и среднего предпринимательства составило 62,2 тысячи единиц (рост к 2022 году </w:t>
      </w:r>
      <w:r>
        <w:rPr>
          <w:rFonts w:eastAsia="TimesNewRoman"/>
          <w:sz w:val="28"/>
          <w:szCs w:val="28"/>
        </w:rPr>
        <w:t xml:space="preserve">– </w:t>
      </w:r>
      <w:r>
        <w:rPr>
          <w:rFonts w:eastAsia="TimesNewRoman"/>
          <w:sz w:val="28"/>
          <w:szCs w:val="28"/>
        </w:rPr>
        <w:t xml:space="preserve">на 4,1 %, к 2021 году </w:t>
      </w:r>
      <w:r>
        <w:rPr>
          <w:rFonts w:eastAsia="TimesNewRoman"/>
          <w:sz w:val="28"/>
          <w:szCs w:val="28"/>
        </w:rPr>
        <w:t xml:space="preserve">– </w:t>
      </w:r>
      <w:r>
        <w:rPr>
          <w:rFonts w:eastAsia="TimesNewRoman"/>
          <w:sz w:val="28"/>
          <w:szCs w:val="28"/>
        </w:rPr>
        <w:t xml:space="preserve">на 4,7 %). Численность занятых в сфере малого и среднего предпринимательства по итогам 2023 года составила 289,4 тысяч человек и увеличилась по сравнению с 2022 годом </w:t>
      </w:r>
      <w:r>
        <w:rPr>
          <w:rFonts w:eastAsia="TimesNewRoman"/>
          <w:sz w:val="28"/>
          <w:szCs w:val="28"/>
        </w:rPr>
        <w:br/>
      </w:r>
      <w:r>
        <w:rPr>
          <w:rFonts w:eastAsia="TimesNewRoman"/>
          <w:sz w:val="28"/>
          <w:szCs w:val="28"/>
        </w:rPr>
        <w:t xml:space="preserve">на 9,2 %.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Фиксируется рост объема налоговых платежей от уплаты данного налога по сравнению с поступлениями 2021 года. В 2022 году рост составил 11,1</w:t>
      </w:r>
      <w:r>
        <w:rPr>
          <w:rFonts w:eastAsia="TimesNewRoman"/>
          <w:sz w:val="28"/>
          <w:szCs w:val="28"/>
        </w:rPr>
        <w:t xml:space="preserve"> </w:t>
      </w:r>
      <w:r>
        <w:rPr>
          <w:rFonts w:eastAsia="TimesNewRoman"/>
          <w:sz w:val="28"/>
          <w:szCs w:val="28"/>
        </w:rPr>
        <w:t xml:space="preserve">%, в 2023 году – 11,9 %, несмотря на действие пониженных ставок по налогу, взимаемому в связи с применением упрощенной системы налогообложения, без ограничений по видам экономической деятельности, </w:t>
      </w:r>
      <w:r>
        <w:rPr>
          <w:rFonts w:eastAsia="TimesNewRoman"/>
          <w:sz w:val="28"/>
          <w:szCs w:val="28"/>
        </w:rPr>
        <w:t xml:space="preserve">что свидетельствует об увеличении объема доходов, полученных субъектами малого и среднего предпринимательства.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Сохраняется бюджетная эффективность налоговых преференций, предоставленных организациям, реализующим приоритетные инвестиционные проекты автономного округа. 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В целом в развитие экономики автономного округа в виде налоговых расходов (льгот, преференций и вычетов) в 2023 году направлено порядка 36 млрд рублей.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Высвобожденные средства направлены организациями </w:t>
      </w:r>
      <w:r>
        <w:rPr>
          <w:rFonts w:eastAsia="TimesNewRoman"/>
          <w:sz w:val="28"/>
          <w:szCs w:val="28"/>
        </w:rPr>
        <w:t xml:space="preserve">региона </w:t>
      </w:r>
      <w:r>
        <w:rPr>
          <w:rFonts w:eastAsia="TimesNewRoman"/>
          <w:sz w:val="28"/>
          <w:szCs w:val="28"/>
        </w:rPr>
        <w:t xml:space="preserve">на развитие, создание новых производственных мощностей и модернизацию основных фондов, проведение энергосберегающих мероприятий, на социальные нужды и благотворительные цели.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Установление общих принципов предварительной оценки налоговых расходов на стадии разработки проекта нормативного правового акта в упрощенном формате, </w:t>
      </w:r>
      <w:r>
        <w:rPr>
          <w:rFonts w:eastAsia="TimesNewRoman"/>
          <w:sz w:val="28"/>
          <w:szCs w:val="28"/>
        </w:rPr>
        <w:t xml:space="preserve">включающих информацию о соответствии проектируемых налоговых льгот (преференций) целям государственных программ и (или) целям социально-экономической политики, потенциальном уровне востребованности, оценку вклада в изменение показателей государственных про</w:t>
      </w:r>
      <w:r>
        <w:rPr>
          <w:rFonts w:eastAsia="TimesNewRoman"/>
          <w:sz w:val="28"/>
          <w:szCs w:val="28"/>
        </w:rPr>
        <w:t xml:space="preserve">грамм и (или) целевых показателей социально-экономической политики и оценку совокупного бюджетного эффекта (самоокупаемости) проектируемых налоговых льгот (преференций), позволили исключить принятие решений по установлению неэффективных налоговых расходов.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Основные направления налоговой политики на 2025 год и на плановый период 2026 и 2027 годов сформированы</w:t>
      </w:r>
      <w:r>
        <w:rPr>
          <w:rFonts w:eastAsia="TimesNewRoman"/>
          <w:color w:val="ff0000"/>
          <w:sz w:val="28"/>
          <w:szCs w:val="28"/>
        </w:rPr>
        <w:t xml:space="preserve"> </w:t>
      </w:r>
      <w:r>
        <w:rPr>
          <w:rFonts w:eastAsia="TimesNewRoman"/>
          <w:sz w:val="28"/>
          <w:szCs w:val="28"/>
        </w:rPr>
        <w:t xml:space="preserve">в условиях постепенного смещения от антикризисной политики к достижению структурных изменений в экономике с акцентом на технологическое развитие и поддержку инфраструктуры.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При этом основные направления налоговой политики автономного округа на следующий бюджетный цикл сохраняют преемственность</w:t>
      </w:r>
      <w:r>
        <w:rPr>
          <w:rFonts w:eastAsia="TimesNewRoman"/>
          <w:sz w:val="28"/>
          <w:szCs w:val="28"/>
        </w:rPr>
        <w:t xml:space="preserve"> уже реализуемых мер по повышению эффективности использования доходного потенциала для обеспечения заданных темпов экономического развития, увеличения доходов консолидированного бюджета автономного округа за счет стимулирования инвестиционной деятельности </w:t>
      </w:r>
      <w:r>
        <w:rPr>
          <w:rFonts w:eastAsia="TimesNewRoman"/>
          <w:sz w:val="28"/>
          <w:szCs w:val="28"/>
        </w:rPr>
        <w:t xml:space="preserve">в автономном округе</w:t>
      </w:r>
      <w:r>
        <w:rPr>
          <w:rFonts w:eastAsia="TimesNewRoman"/>
          <w:sz w:val="28"/>
          <w:szCs w:val="28"/>
        </w:rPr>
        <w:t xml:space="preserve">, оптимизации налоговой нагрузки, отмены неэффективных налоговых льгот, в том числе путем: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создания оптимальных условий для стимулирования экономического роста, развития предпринимательской и инвестиционной деятельности путем внедрения </w:t>
      </w:r>
      <w:r>
        <w:rPr>
          <w:rFonts w:eastAsia="TimesNewRoman"/>
          <w:sz w:val="28"/>
          <w:szCs w:val="28"/>
        </w:rPr>
        <w:t xml:space="preserve">в автономном округе</w:t>
      </w:r>
      <w:r>
        <w:rPr>
          <w:rFonts w:eastAsia="TimesNewRoman"/>
          <w:sz w:val="28"/>
          <w:szCs w:val="28"/>
        </w:rPr>
        <w:t xml:space="preserve"> новых форм господдержки инвесторов;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совершенствования налогового законодательства автономного округа с учетом изменений в налоговом законодательстве Российской Федерации;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продолжения реализации механизмов налогового стиму</w:t>
      </w:r>
      <w:r>
        <w:rPr>
          <w:rFonts w:eastAsia="TimesNewRoman"/>
          <w:sz w:val="28"/>
          <w:szCs w:val="28"/>
        </w:rPr>
        <w:t xml:space="preserve">лирования в ходе</w:t>
      </w:r>
      <w:r>
        <w:rPr>
          <w:rFonts w:eastAsia="TimesNewRoman"/>
          <w:sz w:val="28"/>
          <w:szCs w:val="28"/>
        </w:rPr>
        <w:t xml:space="preserve"> приоритетных направлений промышленной и инвестиционной политики автономного округа;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оказания налоговой поддержки субъектам малого и среднего предпринимательства, применяющим упрощенную систему налогообложения, основанной на стимулировании прозрачности показателей экономической деятельности;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корректировки утвержденных размеров потенциально возможного к получению индивидуальным предпринимателем годового дохода по отдельным видам предпринимательской деятельности;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ежегодного установления коэффициента, отражающего региональные особенности рынка труда, в целях исчисления фиксированного авансового платежа по налогу на доходы физических лиц для иностранных работников, осуществляющих трудовую деятельность </w:t>
      </w:r>
      <w:r>
        <w:rPr>
          <w:rFonts w:eastAsia="TimesNewRoman"/>
          <w:sz w:val="28"/>
          <w:szCs w:val="28"/>
        </w:rPr>
        <w:t xml:space="preserve">в автономном округе</w:t>
      </w:r>
      <w:r>
        <w:rPr>
          <w:rFonts w:eastAsia="TimesNewRoman"/>
          <w:sz w:val="28"/>
          <w:szCs w:val="28"/>
        </w:rPr>
        <w:t xml:space="preserve"> на основании патента;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проведения ежегодной оценки эффективности налоговых расходов с последующим формированием предложений по сокращению или отмене неэффективных налоговых льгот и преференций, пересмотра условий их предоставления;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продолжения работы по вовлечению в налоговый оборот отдельных объектов недвижимости, в отношении которых налог на имущество организаций исчисляется исходя из кадастровой стоимости;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расширения налоговой базы по имущественным налогам путем выявления правообладателей ранее учтенных объектов недвижимости, права на которые не зарегистрированы в Едином государственном реестре недвижимости.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Основными фак</w:t>
      </w:r>
      <w:r>
        <w:rPr>
          <w:rFonts w:eastAsia="TimesNewRoman"/>
          <w:sz w:val="28"/>
          <w:szCs w:val="28"/>
        </w:rPr>
        <w:t xml:space="preserve">торами, влияющими на налоговую политику предстоящего периода, являются продолжение реализации мероприятий, направленных на обеспечение стабильных условий ведения предпринимательской деятельности, создание справедливых конкурентных условий развития бизнеса.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В целом в налоговой политике акцент сохранится на повышении эффективности стимулирующей функции налоговой системы.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В трехлетней перспективе будет продолжена раб</w:t>
      </w:r>
      <w:r>
        <w:rPr>
          <w:rFonts w:eastAsia="TimesNewRoman"/>
          <w:sz w:val="28"/>
          <w:szCs w:val="28"/>
        </w:rPr>
        <w:t xml:space="preserve">ота по укреплению доходной базы </w:t>
      </w:r>
      <w:r>
        <w:rPr>
          <w:rFonts w:eastAsia="TimesNewRoman"/>
          <w:sz w:val="28"/>
          <w:szCs w:val="28"/>
        </w:rPr>
        <w:t xml:space="preserve">бюджета автономного округа за счет наращивания стабильных доходных источников и мобилизации в бюджет имеющихся резервов, в первую очередь за счет: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1.</w:t>
      </w:r>
      <w:r>
        <w:rPr>
          <w:rFonts w:eastAsia="TimesNewRoman"/>
          <w:color w:val="ff0000"/>
          <w:sz w:val="28"/>
          <w:szCs w:val="28"/>
        </w:rPr>
        <w:t xml:space="preserve"> </w:t>
      </w:r>
      <w:r>
        <w:rPr>
          <w:rFonts w:eastAsia="TimesNewRoman"/>
          <w:sz w:val="28"/>
          <w:szCs w:val="28"/>
        </w:rPr>
        <w:t xml:space="preserve">Актуализации налоговой нагрузки.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1.1. Планируется увеличение в 2025 году регионального коэффициента, отражающего региональные особе</w:t>
      </w:r>
      <w:r>
        <w:rPr>
          <w:rFonts w:eastAsia="TimesNewRoman"/>
          <w:sz w:val="28"/>
          <w:szCs w:val="28"/>
        </w:rPr>
        <w:t xml:space="preserve">нности рынка труда в автономном округе</w:t>
      </w:r>
      <w:r>
        <w:rPr>
          <w:rFonts w:eastAsia="TimesNewRoman"/>
          <w:sz w:val="28"/>
          <w:szCs w:val="28"/>
        </w:rPr>
        <w:t xml:space="preserve">, с 3,139 до 3,565, что обеспечит выравнивание налоговой нагрузки на иностранных граждан, осуществляющих трудовую деятельность на основании патента, и российских граждан. 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1.2. Планируется возобновление работы по актуализации размеров потенциально возможного годового дохода (далее – потенциальный доход), который может быть получен индивидуальным предпринимателем при применении патентной системы налогообложения.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</w:pPr>
      <w:r>
        <w:rPr>
          <w:rFonts w:eastAsia="TimesNewRoman"/>
          <w:sz w:val="28"/>
          <w:szCs w:val="28"/>
        </w:rPr>
        <w:t xml:space="preserve">За прошедшее десятилетие основные экономические показатели, непосредственно отн</w:t>
      </w:r>
      <w:r>
        <w:rPr>
          <w:rFonts w:eastAsia="TimesNewRoman"/>
          <w:sz w:val="28"/>
          <w:szCs w:val="28"/>
        </w:rPr>
        <w:t xml:space="preserve">осящиеся к сфере деятельности малого предпринимательства, выросли, но большинство налогоплательщиков, применяющих патентную систему налогообложения, уплачивают налог от потенциального дохода, рассчитанного исходя из экономической ситуации 2013-2014 годов. </w:t>
      </w:r>
      <w:r/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Подобная ситуация приводит к нарушению принципа справедливости налогообложения. Актуализация размера потенциального дохода устранит накопившиеся диспропорции и позволит обеспечить равенство условий </w:t>
      </w:r>
      <w:r>
        <w:rPr>
          <w:rFonts w:eastAsia="TimesNewRoman"/>
          <w:sz w:val="28"/>
          <w:szCs w:val="28"/>
        </w:rPr>
        <w:t xml:space="preserve">ведения предпринимателями бизнеса.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eastAsia="TimesNewRoman"/>
          <w:sz w:val="28"/>
          <w:szCs w:val="28"/>
        </w:rPr>
        <w:t xml:space="preserve">В связи с чем</w:t>
      </w:r>
      <w:r>
        <w:rPr>
          <w:rFonts w:eastAsia="TimesNewRoman"/>
          <w:sz w:val="28"/>
          <w:szCs w:val="28"/>
        </w:rPr>
        <w:t xml:space="preserve"> с 1 января 2025 года предлагается установление положения, предусматривающ</w:t>
      </w:r>
      <w:r>
        <w:rPr>
          <w:rFonts w:eastAsia="TimesNewRoman"/>
          <w:sz w:val="28"/>
          <w:szCs w:val="28"/>
        </w:rPr>
        <w:t xml:space="preserve">его ежегодную индексацию размеров потенциального дохода по видам предпринимательской деятельности, в отношении которых применяется патентная система, на коэффициент-дефлятор, определяемый ежегодно Министерством экономического развития Российской Федерации.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1.3. Установление льготы по налогу на имущество организаций на трехлетний период, в отношении объектов</w:t>
      </w:r>
      <w:r>
        <w:rPr>
          <w:rFonts w:eastAsia="TimesNewRoman"/>
          <w:sz w:val="28"/>
          <w:szCs w:val="28"/>
        </w:rPr>
        <w:t xml:space="preserve">,</w:t>
      </w:r>
      <w:r>
        <w:rPr>
          <w:rFonts w:eastAsia="TimesNewRoman"/>
          <w:sz w:val="28"/>
          <w:szCs w:val="28"/>
        </w:rPr>
        <w:t xml:space="preserve"> налоговая база по которым определяется исходя из кадастровой стоимости.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В целях снижения налоговой нагрузки для налогоплательщиков, у которых сумма налога в сравнении с предыдущим периодом увеличилась,  </w:t>
      </w:r>
      <w:r>
        <w:rPr>
          <w:rFonts w:eastAsia="TimesNewRoman"/>
          <w:sz w:val="28"/>
          <w:szCs w:val="28"/>
        </w:rPr>
        <w:t xml:space="preserve">установлена льгота с поэтапным увеличе</w:t>
      </w:r>
      <w:r>
        <w:rPr>
          <w:rFonts w:eastAsia="TimesNewRoman"/>
          <w:sz w:val="28"/>
          <w:szCs w:val="28"/>
        </w:rPr>
        <w:t xml:space="preserve">нием налога, рассчитанным </w:t>
      </w:r>
      <w:r>
        <w:rPr>
          <w:rFonts w:eastAsia="TimesNewRoman"/>
          <w:sz w:val="28"/>
          <w:szCs w:val="28"/>
        </w:rPr>
        <w:br/>
      </w:r>
      <w:r>
        <w:rPr>
          <w:rFonts w:eastAsia="TimesNewRoman"/>
          <w:sz w:val="28"/>
          <w:szCs w:val="28"/>
        </w:rPr>
        <w:t xml:space="preserve">на 3</w:t>
      </w:r>
      <w:r>
        <w:rPr>
          <w:rFonts w:eastAsia="TimesNewRoman"/>
          <w:sz w:val="28"/>
          <w:szCs w:val="28"/>
        </w:rPr>
        <w:t xml:space="preserve"> периода до 2027 года: </w:t>
      </w:r>
      <w:r>
        <w:rPr>
          <w:rFonts w:eastAsia="TimesNewRoman"/>
          <w:sz w:val="28"/>
          <w:szCs w:val="28"/>
          <w:lang w:bidi="ru-RU"/>
        </w:rPr>
        <w:t xml:space="preserve">на 75 % разницы между исчисленной суммой налога за налоговый период 2024 года и исчисленной суммой налога за налоговый период 2023 года;</w:t>
      </w:r>
      <w:r>
        <w:rPr>
          <w:rFonts w:eastAsia="TimesNewRoman"/>
          <w:sz w:val="28"/>
          <w:szCs w:val="28"/>
        </w:rPr>
        <w:t xml:space="preserve"> </w:t>
      </w:r>
      <w:r>
        <w:rPr>
          <w:rFonts w:eastAsia="TimesNewRoman"/>
          <w:sz w:val="28"/>
          <w:szCs w:val="28"/>
          <w:lang w:bidi="ru-RU"/>
        </w:rPr>
        <w:t xml:space="preserve">на 50 % разницы между исчисленной суммой налога за налоговый период 2025 года и исчисленной суммой налога за налоговый период 2023 года</w:t>
      </w:r>
      <w:r>
        <w:rPr>
          <w:rFonts w:eastAsia="TimesNewRoman"/>
          <w:sz w:val="28"/>
          <w:szCs w:val="28"/>
        </w:rPr>
        <w:t xml:space="preserve">;</w:t>
      </w:r>
      <w:r>
        <w:rPr>
          <w:rFonts w:eastAsia="TimesNewRoman"/>
          <w:sz w:val="28"/>
          <w:szCs w:val="28"/>
          <w:lang w:bidi="ru-RU"/>
        </w:rPr>
        <w:t xml:space="preserve"> на 25 % разницы между исчисленной суммой налога за налоговый период 2026 года и исчисленной суммой налога за налоговый период 2023 года.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2. Стимулирования экономического роста, развития предпринимательской и инвестиционной деятельности.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2.1. Планируется установление налоговых льгот для резидентов Арктической зоны по налогу на имущество и на прибыль организаций, а также по упрощенной системе налогообложения.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</w:pPr>
      <w:r>
        <w:rPr>
          <w:rFonts w:eastAsia="TimesNewRoman"/>
          <w:sz w:val="28"/>
          <w:szCs w:val="28"/>
        </w:rPr>
        <w:t xml:space="preserve">По налогу на имущество планируется установить льготу в виде снижения суммы налога в отношении имущества, созданного, приобретенного в собственность в течение срока действия соглашения об осуществлении инвестиционной деятельности в Арктической зоне.</w:t>
      </w:r>
      <w:r/>
    </w:p>
    <w:p>
      <w:pPr>
        <w:ind w:firstLine="708"/>
        <w:jc w:val="both"/>
      </w:pPr>
      <w:r>
        <w:rPr>
          <w:rFonts w:eastAsia="TimesNewRoman"/>
          <w:sz w:val="28"/>
          <w:szCs w:val="28"/>
        </w:rPr>
        <w:t xml:space="preserve">По налогу на прибыль организаций планируется снизить ставку налога в отношении прибыли, полученной от деятельности, </w:t>
      </w:r>
      <w:r>
        <w:rPr>
          <w:rFonts w:eastAsia="TimesNewRoman"/>
          <w:sz w:val="28"/>
          <w:szCs w:val="28"/>
        </w:rPr>
        <w:t xml:space="preserve">осуществляемой в течение срока действия соглашений об осуществлении инвестиционной деятельности в Арктической зоне, начиная с налогового периода, в котором впервые получена прибыль, подлежащая налогообложению.</w:t>
      </w:r>
      <w:r/>
    </w:p>
    <w:p>
      <w:pPr>
        <w:ind w:firstLine="708"/>
        <w:jc w:val="both"/>
      </w:pPr>
      <w:r>
        <w:rPr>
          <w:rFonts w:eastAsia="TimesNewRoman"/>
          <w:sz w:val="28"/>
          <w:szCs w:val="28"/>
        </w:rPr>
        <w:t xml:space="preserve">По упрощенной системе налогообложения планируется снизить ставки до минимальных размеров для субъектов малого и среднего предпринимательства, осуществляющих свою деятельность </w:t>
      </w:r>
      <w:r>
        <w:rPr>
          <w:rFonts w:eastAsia="TimesNewRoman"/>
          <w:sz w:val="28"/>
          <w:szCs w:val="28"/>
        </w:rPr>
        <w:t xml:space="preserve">в</w:t>
      </w:r>
      <w:r>
        <w:rPr>
          <w:rFonts w:eastAsia="TimesNewRoman"/>
          <w:sz w:val="28"/>
          <w:szCs w:val="28"/>
        </w:rPr>
        <w:t xml:space="preserve"> автономно</w:t>
      </w:r>
      <w:r>
        <w:rPr>
          <w:rFonts w:eastAsia="TimesNewRoman"/>
          <w:sz w:val="28"/>
          <w:szCs w:val="28"/>
        </w:rPr>
        <w:t xml:space="preserve">м округе</w:t>
      </w:r>
      <w:r>
        <w:rPr>
          <w:rFonts w:eastAsia="TimesNewRoman"/>
          <w:sz w:val="28"/>
          <w:szCs w:val="28"/>
        </w:rPr>
        <w:t xml:space="preserve"> и получивших статус резидента Арктической зоны.</w:t>
      </w:r>
      <w:r/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Распространение преференциального режима для Арктической зоны позволит новым арктическим инвесторам создать востребованные предприятия и дополнительные рабочие места для </w:t>
      </w:r>
      <w:r>
        <w:rPr>
          <w:rFonts w:eastAsia="TimesNewRoman"/>
          <w:sz w:val="28"/>
          <w:szCs w:val="28"/>
        </w:rPr>
        <w:t xml:space="preserve">северян</w:t>
      </w:r>
      <w:r>
        <w:rPr>
          <w:rFonts w:eastAsia="TimesNewRoman"/>
          <w:sz w:val="28"/>
          <w:szCs w:val="28"/>
        </w:rPr>
        <w:t xml:space="preserve"> и будет способствовать реализации крупных инвестиционных проектов, что окажет положительное влияние на социально-экономическое развитие автономного округа. 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2.2. Установление налоговой льготы по налогу на имущество организаций заказчикам по контрактам промышленного офсета.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eastAsia="TimesNewRoman"/>
          <w:sz w:val="28"/>
          <w:szCs w:val="28"/>
        </w:rPr>
        <w:t xml:space="preserve">В целях обеспечения возврата инвестиций за счет гарантированного </w:t>
      </w:r>
      <w:r>
        <w:rPr>
          <w:rFonts w:eastAsia="TimesNewRoman"/>
          <w:sz w:val="28"/>
          <w:szCs w:val="28"/>
        </w:rPr>
        <w:t xml:space="preserve">сбыта производимой продукции предлагается внедрение нового механиз</w:t>
      </w:r>
      <w:r>
        <w:rPr>
          <w:rFonts w:eastAsia="TimesNewRoman"/>
          <w:sz w:val="28"/>
          <w:szCs w:val="28"/>
        </w:rPr>
        <w:t xml:space="preserve">ма промышленного офсета как новой формы трехстороннего партнерства государства, крупного и малого бизнеса, при котором крупный бизнес получает льготу по налогу на имущество (не более 5 %) взамен на долгосрочный заказ продукции создаваемого в регионе нового</w:t>
      </w:r>
      <w:r>
        <w:rPr>
          <w:rFonts w:eastAsia="TimesNewRoman"/>
          <w:sz w:val="28"/>
          <w:szCs w:val="28"/>
        </w:rPr>
        <w:t xml:space="preserve"> производства. Предлагается установить льготу по налогу на имущество организациям, являющимся заказчиками по контрактам промышленного офсета, включенным в Реестр контрактов со встречными инвестиционными обязательствами, заключенным в сфере промышленности. </w:t>
      </w:r>
      <w:r>
        <w:rPr>
          <w:sz w:val="28"/>
          <w:szCs w:val="28"/>
        </w:rPr>
        <w:t xml:space="preserve">Срок действия налоговой льготы предлагается установить на срок действия промышленного офсета, но не более 5 лет.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</w:rPr>
        <w:t xml:space="preserve">2.3. Установление пониженной ставки в размере 5 %, по упрощенной системе налогообложения, если объектом налогообложения являются </w:t>
      </w:r>
      <w:r>
        <w:rPr>
          <w:sz w:val="28"/>
          <w:szCs w:val="28"/>
        </w:rPr>
        <w:t xml:space="preserve">доходы, уменьшенные на величину расходов, и пониженной ставки в размере 1 %, если объектом налогообложения являются доходы для  субъектов креативных индустрий, включенных в 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еестр субъектов креативных индустрий автономного округа и осуществляющих </w:t>
      </w:r>
      <w:r>
        <w:rPr>
          <w:sz w:val="28"/>
          <w:szCs w:val="28"/>
        </w:rPr>
        <w:t xml:space="preserve">деятельность в сфере креативных индустрий по перечню видов экономической деятельности, определенных в соответствии с Федеральным законом </w:t>
      </w:r>
      <w:r>
        <w:rPr>
          <w:sz w:val="28"/>
          <w:szCs w:val="28"/>
        </w:rPr>
        <w:t xml:space="preserve">от 8 августа 2024 года № 330-ФЗ </w:t>
      </w:r>
      <w:r>
        <w:rPr>
          <w:sz w:val="28"/>
          <w:szCs w:val="28"/>
        </w:rPr>
        <w:t xml:space="preserve">«О развитии креативных (творческих) индустрий в Российской Федерации».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</w:rPr>
        <w:t xml:space="preserve">2.</w:t>
      </w: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 Продление «</w:t>
      </w:r>
      <w:r>
        <w:rPr>
          <w:rFonts w:eastAsia="TimesNewRoman"/>
          <w:sz w:val="28"/>
          <w:szCs w:val="28"/>
        </w:rPr>
        <w:t xml:space="preserve">налоговых каникул» для налогоплательщиков </w:t>
      </w:r>
      <w:r>
        <w:rPr>
          <w:rFonts w:eastAsia="TimesNewRoman"/>
          <w:sz w:val="28"/>
          <w:szCs w:val="28"/>
        </w:rPr>
        <w:t xml:space="preserve">–</w:t>
      </w:r>
      <w:r>
        <w:rPr>
          <w:rFonts w:eastAsia="TimesNewRoman"/>
          <w:sz w:val="28"/>
          <w:szCs w:val="28"/>
        </w:rPr>
        <w:t xml:space="preserve"> индивидуальных предпринимателей, применяющих упрощенную или патентную системы налогообложения, впервые зарегистрированных и осуществляющих виды предпринимательской деятельности в производственной, социальной и (или) научной сферах, а также в сфере </w:t>
      </w:r>
      <w:r>
        <w:rPr>
          <w:rFonts w:eastAsia="TimesNewRoman"/>
          <w:sz w:val="28"/>
          <w:szCs w:val="28"/>
        </w:rPr>
        <w:t xml:space="preserve">бытовых услуг населению и услуг по предоставлению мест для временного проживания.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8"/>
          <w:szCs w:val="28"/>
        </w:rPr>
        <w:t xml:space="preserve">3. Планируется на основании полученных выводов об эффективности налоговых расходов автономного округа за 2023 год провести </w:t>
      </w:r>
      <w:r>
        <w:rPr>
          <w:color w:val="000000"/>
          <w:sz w:val="28"/>
          <w:szCs w:val="28"/>
        </w:rPr>
        <w:t xml:space="preserve">донастройку</w:t>
      </w:r>
      <w:r>
        <w:rPr>
          <w:color w:val="000000"/>
          <w:sz w:val="28"/>
          <w:szCs w:val="28"/>
        </w:rPr>
        <w:t xml:space="preserve"> преференциальных налоговых режимов</w:t>
      </w:r>
      <w:r>
        <w:rPr>
          <w:sz w:val="28"/>
          <w:szCs w:val="28"/>
        </w:rPr>
        <w:t xml:space="preserve">:</w:t>
      </w:r>
      <w:r>
        <w:rPr>
          <w:rFonts w:eastAsia="TimesNewRoman"/>
        </w:rPr>
      </w:r>
      <w:r>
        <w:rPr>
          <w:rFonts w:eastAsia="TimesNewRoman"/>
        </w:rPr>
      </w:r>
    </w:p>
    <w:p>
      <w:pPr>
        <w:ind w:firstLine="708"/>
        <w:jc w:val="both"/>
        <w:rPr>
          <w:rFonts w:eastAsia="TimesNewRoman"/>
        </w:rPr>
      </w:pPr>
      <w:r>
        <w:rPr>
          <w:rFonts w:eastAsia="TimesNewRoman"/>
          <w:sz w:val="28"/>
          <w:szCs w:val="28"/>
        </w:rPr>
        <w:t xml:space="preserve">3.1. П</w:t>
      </w:r>
      <w:r>
        <w:rPr>
          <w:rFonts w:eastAsia="TimesNewRoman"/>
          <w:sz w:val="28"/>
          <w:szCs w:val="28"/>
        </w:rPr>
        <w:t xml:space="preserve">о налогу на имущество организаций отменить следующие налоговые расходы:</w:t>
      </w:r>
      <w:r>
        <w:rPr>
          <w:rFonts w:eastAsia="TimesNewRoman"/>
        </w:rPr>
      </w:r>
      <w:r>
        <w:rPr>
          <w:rFonts w:eastAsia="TimesNewRoman"/>
        </w:rPr>
      </w:r>
    </w:p>
    <w:p>
      <w:pPr>
        <w:ind w:firstLine="708"/>
        <w:jc w:val="both"/>
        <w:rPr>
          <w:rFonts w:eastAsia="TimesNewRoman"/>
        </w:rPr>
      </w:pPr>
      <w:r>
        <w:rPr>
          <w:rFonts w:eastAsia="TimesNewRoman"/>
          <w:sz w:val="28"/>
          <w:szCs w:val="28"/>
        </w:rPr>
        <w:t xml:space="preserve">с 1 января 2025 года</w:t>
      </w:r>
      <w:r>
        <w:rPr>
          <w:rFonts w:eastAsia="TimesNewRoman"/>
          <w:sz w:val="28"/>
          <w:szCs w:val="28"/>
        </w:rPr>
        <w:t xml:space="preserve">:</w:t>
      </w:r>
      <w:r>
        <w:rPr>
          <w:rFonts w:eastAsia="TimesNewRoman"/>
        </w:rPr>
      </w:r>
      <w:r>
        <w:rPr>
          <w:rFonts w:eastAsia="TimesNewRoman"/>
        </w:rPr>
      </w:r>
    </w:p>
    <w:p>
      <w:pPr>
        <w:ind w:firstLine="708"/>
        <w:jc w:val="both"/>
        <w:rPr>
          <w:rFonts w:eastAsia="TimesNewRoman"/>
        </w:rPr>
      </w:pPr>
      <w:r>
        <w:rPr>
          <w:rFonts w:eastAsia="TimesNewRoman"/>
          <w:sz w:val="28"/>
          <w:szCs w:val="28"/>
        </w:rPr>
        <w:t xml:space="preserve">налоговую льготу для организаций, осуществляющих производство пищевых продуктов и (или) напитков. По результатам оценки за </w:t>
      </w:r>
      <w:r>
        <w:rPr>
          <w:rFonts w:eastAsia="TimesNewRoman"/>
          <w:sz w:val="28"/>
          <w:szCs w:val="28"/>
        </w:rPr>
        <w:t xml:space="preserve">пяти</w:t>
      </w:r>
      <w:r>
        <w:rPr>
          <w:rFonts w:eastAsia="TimesNewRoman"/>
          <w:sz w:val="28"/>
          <w:szCs w:val="28"/>
        </w:rPr>
        <w:t xml:space="preserve">летний период не обеспечена самоокупаемость налогового расхода, а также в течение 4 налоговых периодов не достигнуты положительные значения коэффициентов бюджетной и экономической эффективности;</w:t>
      </w:r>
      <w:r>
        <w:rPr>
          <w:rFonts w:eastAsia="TimesNewRoman"/>
        </w:rPr>
      </w:r>
      <w:r>
        <w:rPr>
          <w:rFonts w:eastAsia="TimesNewRoman"/>
        </w:rPr>
      </w:r>
    </w:p>
    <w:p>
      <w:pPr>
        <w:ind w:firstLine="708"/>
        <w:jc w:val="both"/>
        <w:rPr>
          <w:rFonts w:eastAsia="TimesNewRoman"/>
        </w:rPr>
      </w:pPr>
      <w:r>
        <w:rPr>
          <w:rFonts w:eastAsia="TimesNewRoman"/>
          <w:sz w:val="28"/>
          <w:szCs w:val="28"/>
        </w:rPr>
        <w:t xml:space="preserve">налоговую льготу для организаций, осуществляющих деятельность в </w:t>
      </w:r>
      <w:r>
        <w:rPr>
          <w:rFonts w:eastAsia="TimesNewRoman"/>
          <w:sz w:val="28"/>
          <w:szCs w:val="28"/>
        </w:rPr>
        <w:t xml:space="preserve">области информационных технологий в отношении объектов связи и центров обработки данных в связи с окончанием ее срока действия и </w:t>
      </w:r>
      <w:r>
        <w:rPr>
          <w:rFonts w:eastAsia="TimesNewRoman"/>
          <w:sz w:val="28"/>
          <w:szCs w:val="28"/>
        </w:rPr>
        <w:t xml:space="preserve">невостребованностью</w:t>
      </w:r>
      <w:r>
        <w:rPr>
          <w:rFonts w:eastAsia="TimesNewRoman"/>
          <w:sz w:val="28"/>
          <w:szCs w:val="28"/>
        </w:rPr>
        <w:t xml:space="preserve">;</w:t>
      </w:r>
      <w:r>
        <w:rPr>
          <w:rFonts w:eastAsia="TimesNewRoman"/>
        </w:rPr>
      </w:r>
      <w:r>
        <w:rPr>
          <w:rFonts w:eastAsia="TimesNewRoman"/>
        </w:rPr>
      </w:r>
    </w:p>
    <w:p>
      <w:pPr>
        <w:contextualSpacing/>
        <w:ind w:firstLine="709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с 1 января 2026 года</w:t>
      </w:r>
      <w:r>
        <w:rPr>
          <w:rFonts w:eastAsia="TimesNewRoman"/>
          <w:sz w:val="28"/>
          <w:szCs w:val="28"/>
        </w:rPr>
        <w:t xml:space="preserve">: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9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налоговую льготу для организаций – в отношении недвижимого имущества, относящегося к газораспределительным сетям. По результатам оценки налогового расхода за</w:t>
      </w:r>
      <w:r>
        <w:rPr>
          <w:rFonts w:eastAsia="TimesNewRoman"/>
          <w:sz w:val="28"/>
          <w:szCs w:val="28"/>
        </w:rPr>
        <w:t xml:space="preserve"> пяти</w:t>
      </w:r>
      <w:r>
        <w:rPr>
          <w:rFonts w:eastAsia="TimesNewRoman"/>
          <w:sz w:val="28"/>
          <w:szCs w:val="28"/>
        </w:rPr>
        <w:t xml:space="preserve">летний период не обеспечена самоокупаемость в течение 3 налоговых периодов;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налоговую льготу в виде вычета из налогооблагаемой базы (на кадастровую стоимость 300 или 100 кв.</w:t>
      </w:r>
      <w:r>
        <w:rPr>
          <w:rFonts w:eastAsia="TimesNewRoman"/>
          <w:sz w:val="28"/>
          <w:szCs w:val="28"/>
        </w:rPr>
        <w:t xml:space="preserve"> м</w:t>
      </w:r>
      <w:r>
        <w:rPr>
          <w:rFonts w:eastAsia="TimesNewRoman"/>
          <w:sz w:val="28"/>
          <w:szCs w:val="28"/>
        </w:rPr>
        <w:t xml:space="preserve">) в отношении </w:t>
      </w:r>
      <w:r>
        <w:rPr>
          <w:rFonts w:eastAsia="TimesNewRoman"/>
          <w:sz w:val="28"/>
          <w:szCs w:val="28"/>
        </w:rPr>
        <w:t xml:space="preserve">объектов недвижимого имущества, налоговая база по которым определяется как их кадастровая стоимость. По результатам оценки за пятилетний период не обеспечена самоокупаемость и востребованность налогового расхода, а также в течение 3 налоговых периодов отсу</w:t>
      </w:r>
      <w:r>
        <w:rPr>
          <w:rFonts w:eastAsia="TimesNewRoman"/>
          <w:sz w:val="28"/>
          <w:szCs w:val="28"/>
        </w:rPr>
        <w:t xml:space="preserve">тствует бюджетная эффективность.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3.2. П</w:t>
      </w:r>
      <w:r>
        <w:rPr>
          <w:rFonts w:eastAsia="TimesNewRoman"/>
          <w:sz w:val="28"/>
          <w:szCs w:val="28"/>
        </w:rPr>
        <w:t xml:space="preserve">о упрощенной системе налогообложения с 1 января 2025 года</w:t>
      </w:r>
      <w:r>
        <w:rPr>
          <w:rFonts w:eastAsia="TimesNewRoman"/>
          <w:sz w:val="28"/>
          <w:szCs w:val="28"/>
        </w:rPr>
        <w:t xml:space="preserve"> на трехлетний период: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установить дифф</w:t>
      </w:r>
      <w:r>
        <w:rPr>
          <w:rFonts w:eastAsia="TimesNewRoman"/>
          <w:sz w:val="28"/>
          <w:szCs w:val="28"/>
        </w:rPr>
        <w:t xml:space="preserve">еренцированные пониженные ставки, если объектом налогообложения являются доходы, уменьшенные на величину расходов, с определением условий для их применения. В связи с окончанием срока действия пониженной ставки, с учетом результатов оценки, в соответствии </w:t>
      </w:r>
      <w:r>
        <w:rPr>
          <w:rFonts w:eastAsia="TimesNewRoman"/>
          <w:sz w:val="28"/>
          <w:szCs w:val="28"/>
        </w:rPr>
        <w:t xml:space="preserve">с которыми за </w:t>
      </w:r>
      <w:r>
        <w:rPr>
          <w:rFonts w:eastAsia="TimesNewRoman"/>
          <w:sz w:val="28"/>
          <w:szCs w:val="28"/>
        </w:rPr>
        <w:t xml:space="preserve">пяти</w:t>
      </w:r>
      <w:r>
        <w:rPr>
          <w:rFonts w:eastAsia="TimesNewRoman"/>
          <w:sz w:val="28"/>
          <w:szCs w:val="28"/>
        </w:rPr>
        <w:t xml:space="preserve">летний период по данной категории налоговых расходов не обеспечен должный уровень эффективности (в течение 4 налоговых периодов наблюдалась умеренная эффективность)</w:t>
      </w:r>
      <w:r>
        <w:rPr>
          <w:rFonts w:eastAsia="TimesNewRoman"/>
          <w:sz w:val="28"/>
          <w:szCs w:val="28"/>
        </w:rPr>
        <w:t xml:space="preserve">,</w:t>
      </w:r>
      <w:r>
        <w:rPr>
          <w:rFonts w:eastAsia="TimesNewRoman"/>
          <w:sz w:val="28"/>
          <w:szCs w:val="28"/>
        </w:rPr>
        <w:t xml:space="preserve"> по результатам 2023 года налогов</w:t>
      </w:r>
      <w:r>
        <w:rPr>
          <w:rFonts w:eastAsia="TimesNewRoman"/>
          <w:sz w:val="28"/>
          <w:szCs w:val="28"/>
        </w:rPr>
        <w:t xml:space="preserve">ый расход признан неэффективным;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eastAsia="TimesNewRoman"/>
          <w:sz w:val="28"/>
          <w:szCs w:val="28"/>
        </w:rPr>
        <w:t xml:space="preserve">продлить </w:t>
      </w:r>
      <w:r>
        <w:rPr>
          <w:sz w:val="28"/>
          <w:szCs w:val="28"/>
        </w:rPr>
        <w:t xml:space="preserve">действие пониженной ставки в размере 5 %, если объектом налогообложения являются доходы, уменьшенные на величину расходов, </w:t>
      </w:r>
      <w:r>
        <w:rPr>
          <w:rFonts w:eastAsia="TimesNewRoman"/>
          <w:sz w:val="28"/>
          <w:szCs w:val="28"/>
        </w:rPr>
        <w:t xml:space="preserve">для региональных социально ориентированных некоммерческих организаций, религиозных организаций, а также для субъектов малого и среднего предпринимательства, которые признаны социальными </w:t>
      </w:r>
      <w:r>
        <w:rPr>
          <w:rFonts w:eastAsia="TimesNewRoman"/>
          <w:sz w:val="28"/>
          <w:szCs w:val="28"/>
        </w:rPr>
        <w:t xml:space="preserve">предприятиями, </w:t>
      </w:r>
      <w:r>
        <w:rPr>
          <w:sz w:val="28"/>
          <w:szCs w:val="28"/>
        </w:rPr>
        <w:t xml:space="preserve">с условиями, установленными для применения пониженной ставки в размере 1 % если объектом налогообложения являются доходы</w:t>
      </w:r>
      <w:r>
        <w:rPr>
          <w:rFonts w:eastAsia="TimesNewRoman"/>
          <w:sz w:val="28"/>
          <w:szCs w:val="28"/>
        </w:rPr>
        <w:t xml:space="preserve">;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продлить де</w:t>
      </w:r>
      <w:r>
        <w:rPr>
          <w:rFonts w:eastAsia="TimesNewRoman"/>
          <w:sz w:val="28"/>
          <w:szCs w:val="28"/>
        </w:rPr>
        <w:t xml:space="preserve">йствие пониженной ставки в размере 5 %, по упрощенной системе налогообложения если объектом налогообложения являются доходы. В связи с окончанием срока действия пониженной ставки, с учетом результатов оценки, предлагается сохранить ставку, так как в течени</w:t>
      </w:r>
      <w:r>
        <w:rPr>
          <w:rFonts w:eastAsia="TimesNewRoman"/>
          <w:sz w:val="28"/>
          <w:szCs w:val="28"/>
        </w:rPr>
        <w:t xml:space="preserve">е</w:t>
      </w:r>
      <w:r>
        <w:rPr>
          <w:rFonts w:eastAsia="TimesNewRoman"/>
          <w:sz w:val="28"/>
          <w:szCs w:val="28"/>
        </w:rPr>
        <w:t xml:space="preserve"> пятилетнего периода, только в 1 налоговом периоде налоговый расход признан неэффективным. Пониженная ставка сохраняется для 25 видов </w:t>
      </w:r>
      <w:r>
        <w:rPr>
          <w:rFonts w:eastAsia="TimesNewRoman"/>
          <w:sz w:val="28"/>
          <w:szCs w:val="28"/>
        </w:rPr>
        <w:t xml:space="preserve">общероссийского классификатора видов экономической деятельности (</w:t>
      </w:r>
      <w:r>
        <w:rPr>
          <w:rFonts w:eastAsia="TimesNewRoman"/>
          <w:sz w:val="28"/>
          <w:szCs w:val="28"/>
        </w:rPr>
        <w:t xml:space="preserve">ОКВЭД</w:t>
      </w:r>
      <w:r>
        <w:rPr>
          <w:rFonts w:eastAsia="TimesNewRoman"/>
          <w:sz w:val="28"/>
          <w:szCs w:val="28"/>
        </w:rPr>
        <w:t xml:space="preserve">)</w:t>
      </w:r>
      <w:r>
        <w:rPr>
          <w:rFonts w:eastAsia="TimesNewRoman"/>
          <w:sz w:val="28"/>
          <w:szCs w:val="28"/>
        </w:rPr>
        <w:t xml:space="preserve">;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</w:rPr>
        <w:t xml:space="preserve">продлить действие пониженной ставки в размере 5 % если объектом налогообложения являются доходы, уменьшенные на величину расходов, и пониженной с</w:t>
      </w:r>
      <w:r>
        <w:rPr>
          <w:sz w:val="28"/>
          <w:szCs w:val="28"/>
        </w:rPr>
        <w:t xml:space="preserve">тавки в размере 1 % если объектом налогообложения являются доходы, в связи с окончанием срока ее действия, для налогоплательщиков, осуществляющих деятельность в области информационных технологий, в целях принятия решения по результатам пятилетнего периода.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rFonts w:eastAsia="TimesNewRoman"/>
        </w:rPr>
      </w:pPr>
      <w:r>
        <w:rPr>
          <w:rFonts w:eastAsia="TimesNewRoman"/>
          <w:sz w:val="28"/>
          <w:szCs w:val="28"/>
        </w:rPr>
        <w:t xml:space="preserve">3.3</w:t>
      </w:r>
      <w:r>
        <w:rPr>
          <w:rFonts w:eastAsia="TimesNewRoman"/>
          <w:sz w:val="28"/>
          <w:szCs w:val="28"/>
        </w:rPr>
        <w:t xml:space="preserve">. П</w:t>
      </w:r>
      <w:r>
        <w:rPr>
          <w:rFonts w:eastAsia="TimesNewRoman"/>
          <w:sz w:val="28"/>
          <w:szCs w:val="28"/>
        </w:rPr>
        <w:t xml:space="preserve">о налогу на прибыль организаций с 1 января 2025 года:</w:t>
      </w:r>
      <w:r>
        <w:rPr>
          <w:rFonts w:eastAsia="TimesNewRoman"/>
        </w:rPr>
      </w:r>
      <w:r>
        <w:rPr>
          <w:rFonts w:eastAsia="TimesNewRoman"/>
        </w:rPr>
      </w:r>
    </w:p>
    <w:p>
      <w:pPr>
        <w:ind w:firstLine="709"/>
        <w:jc w:val="both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eastAsia="TimesNewRoman"/>
          <w:sz w:val="28"/>
          <w:szCs w:val="28"/>
        </w:rPr>
        <w:t xml:space="preserve">отменить невостребованную более 5 налоговых периодов льготу в виде пониженной ставки, установленной для организаций – участников специальных инвестиционных контрактов;</w:t>
      </w:r>
      <w:r/>
    </w:p>
    <w:p>
      <w:pPr>
        <w:ind w:firstLine="709"/>
        <w:jc w:val="both"/>
        <w:rPr>
          <w:rFonts w:eastAsia="TimesNew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eastAsia="TimesNewRoman"/>
          <w:sz w:val="28"/>
          <w:szCs w:val="28"/>
        </w:rPr>
        <w:t xml:space="preserve">льготу в виде пониженных ставок для организаций, являющихся владельцами лицензий на пользование участками недр </w:t>
      </w:r>
      <w:r>
        <w:rPr>
          <w:rFonts w:eastAsia="TimesNewRoman"/>
          <w:sz w:val="28"/>
          <w:szCs w:val="28"/>
        </w:rPr>
        <w:t xml:space="preserve">в автономном округе</w:t>
      </w:r>
      <w:r>
        <w:rPr>
          <w:rFonts w:eastAsia="TimesNewRoman"/>
          <w:sz w:val="28"/>
          <w:szCs w:val="28"/>
        </w:rPr>
        <w:t xml:space="preserve">, содержащими месторождения углеводородного сырья, которые вкладывают инвестиции в основной капитал (основные средства) и осуществляют расходы на проведение геологоразведочных работ </w:t>
      </w:r>
      <w:r>
        <w:rPr>
          <w:rFonts w:eastAsia="TimesNewRoman"/>
          <w:sz w:val="28"/>
          <w:szCs w:val="28"/>
        </w:rPr>
        <w:t xml:space="preserve">в автономном округе</w:t>
      </w:r>
      <w:r>
        <w:rPr>
          <w:rFonts w:eastAsia="TimesNewRoman"/>
          <w:sz w:val="28"/>
          <w:szCs w:val="28"/>
        </w:rPr>
        <w:t xml:space="preserve">, </w:t>
      </w:r>
      <w:r>
        <w:rPr>
          <w:rFonts w:eastAsia="TimesNewRoman"/>
          <w:sz w:val="28"/>
          <w:szCs w:val="28"/>
        </w:rPr>
        <w:t xml:space="preserve">заменить на инвестиционный налоговый вычет, с установлением условий его применения, учитывая результаты оценки за </w:t>
      </w:r>
      <w:r>
        <w:rPr>
          <w:rFonts w:eastAsia="TimesNewRoman"/>
          <w:sz w:val="28"/>
          <w:szCs w:val="28"/>
        </w:rPr>
        <w:t xml:space="preserve">пяти</w:t>
      </w:r>
      <w:r>
        <w:rPr>
          <w:rFonts w:eastAsia="TimesNewRoman"/>
          <w:sz w:val="28"/>
          <w:szCs w:val="28"/>
        </w:rPr>
        <w:t xml:space="preserve">летний период (данной категорией налоговых расходов </w:t>
      </w:r>
      <w:r>
        <w:rPr>
          <w:rFonts w:eastAsia="TimesNewRoman"/>
          <w:sz w:val="28"/>
          <w:szCs w:val="28"/>
        </w:rPr>
        <w:br/>
      </w:r>
      <w:r>
        <w:rPr>
          <w:rFonts w:eastAsia="TimesNewRoman"/>
          <w:sz w:val="28"/>
          <w:szCs w:val="28"/>
        </w:rPr>
        <w:t xml:space="preserve">в течение 3 налоговых периодов обеспечена самоокупаемость)</w:t>
      </w:r>
      <w:r>
        <w:rPr>
          <w:rFonts w:eastAsia="TimesNewRoman"/>
          <w:sz w:val="28"/>
          <w:szCs w:val="28"/>
        </w:rPr>
        <w:t xml:space="preserve">;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widowControl w:val="off"/>
      </w:pPr>
      <w:r>
        <w:rPr>
          <w:bCs/>
          <w:sz w:val="28"/>
          <w:szCs w:val="28"/>
        </w:rPr>
        <w:t xml:space="preserve">использовать право установления ограничений для применения инвестиционного налогового вычета по налогу на прибыль организаций как инструмента модернизации производства и обновления основных средств. </w:t>
      </w:r>
      <w:r/>
    </w:p>
    <w:p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983"/>
        <w:ind w:left="0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>
        <w:rPr>
          <w:rFonts w:ascii="Times New Roman" w:hAnsi="Times New Roman"/>
          <w:sz w:val="28"/>
          <w:szCs w:val="28"/>
          <w:lang w:val="en-US"/>
        </w:rPr>
        <w:t xml:space="preserve">II</w:t>
      </w:r>
      <w:r>
        <w:rPr>
          <w:rFonts w:ascii="Times New Roman" w:hAnsi="Times New Roman"/>
          <w:sz w:val="28"/>
          <w:szCs w:val="28"/>
        </w:rPr>
        <w:t xml:space="preserve">. Основные направления </w:t>
      </w:r>
      <w:r>
        <w:rPr>
          <w:rFonts w:ascii="Times New Roman" w:hAnsi="Times New Roman"/>
          <w:bCs/>
          <w:sz w:val="28"/>
          <w:szCs w:val="28"/>
        </w:rPr>
        <w:t xml:space="preserve">бюджетной</w:t>
      </w:r>
      <w:r>
        <w:rPr>
          <w:rFonts w:ascii="Times New Roman" w:hAnsi="Times New Roman"/>
          <w:sz w:val="28"/>
          <w:szCs w:val="28"/>
        </w:rPr>
        <w:t xml:space="preserve"> политики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83"/>
        <w:ind w:left="0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Ханты-Мансийского автономного округа – Югры и подходы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83"/>
        <w:ind w:left="0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формированию характеристик бюджета Ханты-Мансийского автономного округа – Югры на 2025 год и на плановый период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83"/>
        <w:ind w:left="0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2026 и 2027 годов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94"/>
        <w:ind w:firstLine="708"/>
        <w:jc w:val="both"/>
        <w:spacing w:before="0" w:beforeAutospacing="0" w:after="0" w:afterAutospacing="0"/>
        <w:rPr>
          <w:rFonts w:eastAsia="TimesNewRoman"/>
          <w:sz w:val="28"/>
          <w:szCs w:val="28"/>
          <w:lang w:eastAsia="en-US"/>
        </w:rPr>
      </w:pPr>
      <w:r>
        <w:rPr>
          <w:rFonts w:eastAsia="TimesNewRoman"/>
          <w:sz w:val="28"/>
          <w:szCs w:val="28"/>
          <w:lang w:eastAsia="en-US"/>
        </w:rPr>
        <w:t xml:space="preserve">Основной целью бюджетной политики автономного округа в сфере доходов является сохранение стабильности финансовой системы </w:t>
      </w:r>
      <w:r>
        <w:rPr>
          <w:rFonts w:eastAsia="TimesNewRoman"/>
          <w:sz w:val="28"/>
          <w:szCs w:val="28"/>
          <w:lang w:eastAsia="en-US"/>
        </w:rPr>
        <w:t xml:space="preserve">автономного округа, увеличение доходной базы бюджета на долгосрочную перспективу.</w:t>
      </w:r>
      <w:r>
        <w:rPr>
          <w:rFonts w:eastAsia="TimesNewRoman"/>
          <w:sz w:val="28"/>
          <w:szCs w:val="28"/>
          <w:lang w:eastAsia="en-US"/>
        </w:rPr>
      </w:r>
      <w:r>
        <w:rPr>
          <w:rFonts w:eastAsia="TimesNewRoman"/>
          <w:sz w:val="28"/>
          <w:szCs w:val="28"/>
          <w:lang w:eastAsia="en-US"/>
        </w:rPr>
      </w:r>
    </w:p>
    <w:p>
      <w:pPr>
        <w:pStyle w:val="986"/>
        <w:ind w:left="0" w:firstLine="708"/>
        <w:jc w:val="both"/>
        <w:widowControl w:val="off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Решение задачи по достижению указанной цели планируется осуществить посредством обеспечения устойчивых темпов роста экономики и расширения потенциала сбалансированного развития региона.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pStyle w:val="986"/>
        <w:ind w:left="0" w:firstLine="708"/>
        <w:jc w:val="both"/>
        <w:widowControl w:val="off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Формирование бюджета автономного округа на 2025 год и на плановый период 2026 и 2027 годов проводится в условиях сохранения </w:t>
      </w:r>
      <w:r>
        <w:rPr>
          <w:rFonts w:eastAsia="TimesNewRoman"/>
          <w:sz w:val="28"/>
          <w:szCs w:val="28"/>
        </w:rPr>
        <w:t xml:space="preserve">санкционных</w:t>
      </w:r>
      <w:r>
        <w:rPr>
          <w:rFonts w:eastAsia="TimesNewRoman"/>
          <w:sz w:val="28"/>
          <w:szCs w:val="28"/>
        </w:rPr>
        <w:t xml:space="preserve"> ограничений, перестройки экономики и совершенствования налоговой системы. 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pStyle w:val="986"/>
        <w:ind w:left="0"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Изменения налогового и бюджетного законодательства направлены на реализацию поручений Президента Российской Федерации и предусм</w:t>
      </w:r>
      <w:r>
        <w:rPr>
          <w:rFonts w:eastAsia="TimesNewRoman"/>
          <w:sz w:val="28"/>
          <w:szCs w:val="28"/>
        </w:rPr>
        <w:t xml:space="preserve">атривают комплексную трансформацию параметров налоговой системы в части налогообложения корпоративных и личных доходов на базе принципа справедливости и эффективности перераспределения поступлений между различными группами населения и секторами экономики. 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В части доходов новации федерального законодательства оказывают разнонаправленное влияние на формирование доходов, но в целом существенным образом не повлияют на изменение общих параметров бюджета автономного округа.  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pStyle w:val="986"/>
        <w:ind w:left="0"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С 1 января 2025 года федеральным законодательством устанавливается: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pStyle w:val="986"/>
        <w:ind w:left="0"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прогрессивн</w:t>
      </w:r>
      <w:r>
        <w:rPr>
          <w:rFonts w:eastAsia="TimesNewRoman"/>
          <w:sz w:val="28"/>
          <w:szCs w:val="28"/>
        </w:rPr>
        <w:t xml:space="preserve">ая шкала налогообложения по налогу на доходы физических лиц. Изменения не затронут доходы участников специальной военной операции, а также процентные надбавки к заработной плате граждан, работающих в районах Крайнего Севера и приравненных к ним местностях;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увеличение стандартного налогового вычета по налогу на доходы физических лиц для семей с двумя и более детьми, а также новый налоговый вычет для налогоплательщиков, регулярно проходящих диспансеризацию и успешно сдающих нормативы</w:t>
      </w:r>
      <w:r>
        <w:t xml:space="preserve"> </w:t>
      </w:r>
      <w:r>
        <w:rPr>
          <w:rFonts w:eastAsia="TimesNewRoman"/>
          <w:sz w:val="28"/>
          <w:szCs w:val="28"/>
        </w:rPr>
        <w:t xml:space="preserve">«Готов к труду и обороне»</w:t>
      </w:r>
      <w:r>
        <w:rPr>
          <w:rFonts w:eastAsia="TimesNewRoman"/>
          <w:sz w:val="28"/>
          <w:szCs w:val="28"/>
        </w:rPr>
        <w:t xml:space="preserve"> </w:t>
      </w:r>
      <w:r>
        <w:rPr>
          <w:rFonts w:eastAsia="TimesNewRoman"/>
          <w:sz w:val="28"/>
          <w:szCs w:val="28"/>
        </w:rPr>
        <w:t xml:space="preserve">(</w:t>
      </w:r>
      <w:r>
        <w:rPr>
          <w:rFonts w:eastAsia="TimesNewRoman"/>
          <w:sz w:val="28"/>
          <w:szCs w:val="28"/>
        </w:rPr>
        <w:t xml:space="preserve">ГТО</w:t>
      </w:r>
      <w:r>
        <w:rPr>
          <w:rFonts w:eastAsia="TimesNewRoman"/>
          <w:sz w:val="28"/>
          <w:szCs w:val="28"/>
        </w:rPr>
        <w:t xml:space="preserve">)</w:t>
      </w:r>
      <w:r>
        <w:rPr>
          <w:rFonts w:eastAsia="TimesNewRoman"/>
          <w:sz w:val="28"/>
          <w:szCs w:val="28"/>
        </w:rPr>
        <w:t xml:space="preserve">;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увеличение налоговой ставки по налогу на прибыль организаций с 20 % до 25 %. Для суммы налога, подлежащего зачислению в бюджет субъекта Российской Федерации, налоговая ставка сохраняется </w:t>
      </w:r>
      <w:r>
        <w:rPr>
          <w:rFonts w:eastAsia="TimesNewRoman"/>
          <w:sz w:val="28"/>
          <w:szCs w:val="28"/>
        </w:rPr>
        <w:br/>
      </w:r>
      <w:r>
        <w:rPr>
          <w:rFonts w:eastAsia="TimesNewRoman"/>
          <w:sz w:val="28"/>
          <w:szCs w:val="28"/>
        </w:rPr>
        <w:t xml:space="preserve">на уровне 17 %;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перевод на бессрочную основу действия регионального инвестиционного налогового вычета;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федеральный инвестиционный вычет, уменьшающий сумму налога на прибыль в федеральной части на сумму капитальных </w:t>
      </w:r>
      <w:r>
        <w:rPr>
          <w:rFonts w:eastAsia="TimesNewRoman"/>
          <w:sz w:val="28"/>
          <w:szCs w:val="28"/>
        </w:rPr>
        <w:t xml:space="preserve">расходов, произведенных в ходе</w:t>
      </w:r>
      <w:r>
        <w:rPr>
          <w:rFonts w:eastAsia="TimesNewRoman"/>
          <w:sz w:val="28"/>
          <w:szCs w:val="28"/>
        </w:rPr>
        <w:t xml:space="preserve"> инвестиционных проектов;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повышение размеров государственной пошлины за государственную регистрацию прав на дорогую недвижимость и сделок с ней;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отмена повышенных налоговых ставок по упрощенной системе налогообложения, применяемых при превышении пороговых значений, в связи с увеличением этих пороговых значений.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Утвержденные и планируемые изменения федерального и регионального законодательства учтены при формировании проекта бюджета автономного округа. 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Основными приоритетами бюджетной политики автономного округа в </w:t>
      </w:r>
      <w:r>
        <w:rPr>
          <w:rFonts w:eastAsia="TimesNewRoman"/>
          <w:sz w:val="28"/>
          <w:szCs w:val="28"/>
        </w:rPr>
        <w:t xml:space="preserve">области расходов являются достижение национальных целей развития, определенных Президентом Российской Федерации на период до 2030 года и на перспективу до 2036 года, и приоритетов социально-экономического развития автономного округа, консолидация ресурсов </w:t>
      </w:r>
      <w:r>
        <w:rPr>
          <w:rFonts w:eastAsia="TimesNewRoman"/>
          <w:sz w:val="28"/>
          <w:szCs w:val="28"/>
        </w:rPr>
        <w:t xml:space="preserve">на решении задач, обозначенных У</w:t>
      </w:r>
      <w:r>
        <w:rPr>
          <w:rFonts w:eastAsia="TimesNewRoman"/>
          <w:sz w:val="28"/>
          <w:szCs w:val="28"/>
        </w:rPr>
        <w:t xml:space="preserve">казом № 309 и посланием Президента Российской Федерации.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В качестве базовых для формирования расходов бюджета автономного округа на 2025-2027 годы приняты расходы, утвержденные Законом автономного округ</w:t>
      </w:r>
      <w:r>
        <w:rPr>
          <w:rFonts w:eastAsia="TimesNewRoman"/>
          <w:sz w:val="28"/>
          <w:szCs w:val="28"/>
        </w:rPr>
        <w:t xml:space="preserve">а от 29 ноября 2023 года № 94-оз «О бюджете Ханты-Мансийского автономного округа – Югры на 2024 год и на плановый период 2025 и 2026 годов» (далее – Закон № 94-оз), без учета федеральных средств и замены дотации на выравнивание бюджетной обеспеченности мун</w:t>
      </w:r>
      <w:r>
        <w:rPr>
          <w:rFonts w:eastAsia="TimesNewRoman"/>
          <w:sz w:val="28"/>
          <w:szCs w:val="28"/>
        </w:rPr>
        <w:t xml:space="preserve">иципальных районов (городских округов) дополнительными нормативами отчислений от налога на доходы физических лиц. Расходы бюджета автономного округа на 2027 год рассчитаны на основе объемов бюджетных ассигнований, утвержденных Законом № 94-оз на 2026 год. 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При расчете предельных объемов расходов бюджета автономного округа на 2025 – 2027 годы учтены следующие факторы: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увеличение бюджетных ассигнований на обеспечение социальных выплат, размер которых определяется от величины прожиточного минимума;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индексация с 1 января 2025 года на 4 % отдельных мер социальной поддержки, относящихся к публичным и публичным нормативным обязательствам, расходов на организацию</w:t>
      </w:r>
      <w:r>
        <w:rPr>
          <w:rFonts w:eastAsia="TimesNewRoman"/>
          <w:sz w:val="28"/>
          <w:szCs w:val="28"/>
        </w:rPr>
        <w:t xml:space="preserve"> отдыха и оздоровления в части нормативов, утвержденных постановлением Правительства автономного округа от 27 января 2010 года № 21-п «О порядке организации отдыха и оздоровления детей, имеющих место жительства в Ханты-Мансийском автономном округе – Югре»;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индексация с 1 января 2025 года на 4 % расходов на ежемесячные и единовременные сти</w:t>
      </w:r>
      <w:r>
        <w:rPr>
          <w:rFonts w:eastAsia="TimesNewRoman"/>
          <w:sz w:val="28"/>
          <w:szCs w:val="28"/>
        </w:rPr>
        <w:t xml:space="preserve">пендии спортсменам, спортсменам-</w:t>
      </w:r>
      <w:r>
        <w:rPr>
          <w:rFonts w:eastAsia="TimesNewRoman"/>
          <w:sz w:val="28"/>
          <w:szCs w:val="28"/>
        </w:rPr>
        <w:t xml:space="preserve">инвалидам, их тренерам по итогам выступлений на спортивных соревнованиях, расходов на питание, включая питание </w:t>
      </w:r>
      <w:r>
        <w:rPr>
          <w:rFonts w:eastAsia="TimesNewRoman"/>
          <w:sz w:val="28"/>
          <w:szCs w:val="28"/>
        </w:rPr>
        <w:t xml:space="preserve">льготных категорий</w:t>
      </w:r>
      <w:r>
        <w:rPr>
          <w:rFonts w:eastAsia="TimesNewRoman"/>
          <w:sz w:val="28"/>
          <w:szCs w:val="28"/>
        </w:rPr>
        <w:t xml:space="preserve"> обучающихся и учащихся начальных классов в государственных, муниципальных и частных общеобразовательных организациях, питание в пришкольных лагерях, в учреждениях социального обслуживания, здравоохранения, культуры, физической культуры и спорта; 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индексация с 1 сентября 2025 года на 4 % расходов стипендиального фонда обучающихся (студентов) в государственных, федеральных и частных учреждениях высшего и среднего профессионального образования автономного округа;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индексация с 1 октября 2025 года на 4 % фонда оплаты труда работников государственных учреждений, не </w:t>
      </w:r>
      <w:r>
        <w:rPr>
          <w:rFonts w:eastAsia="TimesNewRoman"/>
          <w:sz w:val="28"/>
          <w:szCs w:val="28"/>
        </w:rPr>
        <w:t xml:space="preserve">учтенных в указах № 597, </w:t>
      </w:r>
      <w:r>
        <w:rPr>
          <w:rFonts w:eastAsia="TimesNewRoman"/>
          <w:sz w:val="28"/>
          <w:szCs w:val="28"/>
        </w:rPr>
        <w:t xml:space="preserve">№</w:t>
      </w:r>
      <w:r>
        <w:rPr>
          <w:rFonts w:eastAsia="TimesNewRoman"/>
          <w:sz w:val="28"/>
          <w:szCs w:val="28"/>
        </w:rPr>
        <w:t xml:space="preserve"> </w:t>
      </w:r>
      <w:r>
        <w:rPr>
          <w:rFonts w:eastAsia="TimesNewRoman"/>
          <w:sz w:val="28"/>
          <w:szCs w:val="28"/>
        </w:rPr>
        <w:t xml:space="preserve">761, № 1688 и работников государственных органов автономного округа;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индексация на 9,6</w:t>
      </w:r>
      <w:r>
        <w:rPr>
          <w:rFonts w:eastAsia="TimesNewRoman"/>
          <w:sz w:val="28"/>
          <w:szCs w:val="28"/>
        </w:rPr>
        <w:t xml:space="preserve"> </w:t>
      </w:r>
      <w:r>
        <w:rPr>
          <w:rFonts w:eastAsia="TimesNewRoman"/>
          <w:sz w:val="28"/>
          <w:szCs w:val="28"/>
        </w:rPr>
        <w:t xml:space="preserve">% расходов на оплату коммунальных услуг государственных учреждений и государственных органов автономного округа;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изменение численности контингента и получателей мер социальной поддержки; 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изменение показателей, учитываемых в методиках предоставления межбюджетных трансфертов бюджетам муниципальных образований </w:t>
      </w:r>
      <w:r>
        <w:rPr>
          <w:rFonts w:eastAsia="TimesNewRoman"/>
          <w:sz w:val="28"/>
          <w:szCs w:val="28"/>
        </w:rPr>
        <w:t xml:space="preserve">автономного округа </w:t>
      </w:r>
      <w:r>
        <w:rPr>
          <w:rFonts w:eastAsia="TimesNewRoman"/>
          <w:sz w:val="28"/>
          <w:szCs w:val="28"/>
        </w:rPr>
        <w:t xml:space="preserve">из бюджета автономного округа.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На 2026 – 2027 годы перечисленные параметры индексации учтены на уровне 2025 года, включая их пересчет на полный год.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В расчете фонда оплаты труда: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по категориям работников, подпадающих под указы № 597, № 761, №</w:t>
      </w:r>
      <w:r>
        <w:rPr>
          <w:rFonts w:eastAsia="TimesNewRoman"/>
          <w:sz w:val="28"/>
          <w:szCs w:val="28"/>
        </w:rPr>
        <w:t xml:space="preserve"> </w:t>
      </w:r>
      <w:r>
        <w:rPr>
          <w:rFonts w:eastAsia="TimesNewRoman"/>
          <w:sz w:val="28"/>
          <w:szCs w:val="28"/>
        </w:rPr>
        <w:t xml:space="preserve">1688, учтено прогнозное значение показателя «среднемесячный доход от трудовой деятельности» на 2025 год – 108 617 рублей с ростом на 8,6 % к оценке за 2024 год;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прогнозная величина минимального размера оплаты труда (далее </w:t>
      </w:r>
      <w:r>
        <w:rPr>
          <w:rFonts w:eastAsia="TimesNewRoman"/>
          <w:sz w:val="28"/>
          <w:szCs w:val="28"/>
        </w:rPr>
        <w:t xml:space="preserve">–</w:t>
      </w:r>
      <w:r>
        <w:rPr>
          <w:rFonts w:eastAsia="TimesNewRoman"/>
          <w:sz w:val="28"/>
          <w:szCs w:val="28"/>
        </w:rPr>
        <w:t xml:space="preserve"> МРОТ) с 1 января 2025 года – 22 440 рублей с ростом на 16,6 % к его размеру на 1 января 2024 года – 19 242 рубля. 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Ключевым приоритетом для Правительства автономного ок</w:t>
      </w:r>
      <w:r>
        <w:rPr>
          <w:rFonts w:eastAsia="TimesNewRoman"/>
          <w:sz w:val="28"/>
          <w:szCs w:val="28"/>
        </w:rPr>
        <w:t xml:space="preserve">руга является предоставление мер поддержки участникам специальной военной операции и членам их семей, в том числе осуществление выплат, связанных с поступлением и прохождением военной службы, мероприятий по реабилитации участников специальной военной опера</w:t>
      </w:r>
      <w:r>
        <w:rPr>
          <w:rFonts w:eastAsia="TimesNewRoman"/>
          <w:sz w:val="28"/>
          <w:szCs w:val="28"/>
        </w:rPr>
        <w:t xml:space="preserve">ции, их профессиональному обучению и содействие занятости. Кроме того, участникам специальной военной операции и членам их семей предусмотрены меры поддержки по оплате жилищно-коммунальных услуг, газификации жилых помещений, выплаты при поступлении детей в</w:t>
      </w:r>
      <w:r>
        <w:rPr>
          <w:rFonts w:eastAsia="TimesNewRoman"/>
          <w:color w:val="ff0000"/>
          <w:sz w:val="28"/>
          <w:szCs w:val="28"/>
        </w:rPr>
        <w:t xml:space="preserve"> </w:t>
      </w:r>
      <w:r>
        <w:rPr>
          <w:rFonts w:eastAsia="TimesNewRoman"/>
          <w:sz w:val="28"/>
          <w:szCs w:val="28"/>
        </w:rPr>
        <w:t xml:space="preserve">высшие учебные заведения и иные меры поддержки.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Еще одним важным направлением расходов бюдж</w:t>
      </w:r>
      <w:r>
        <w:rPr>
          <w:rFonts w:eastAsia="TimesNewRoman"/>
          <w:sz w:val="28"/>
          <w:szCs w:val="28"/>
        </w:rPr>
        <w:t xml:space="preserve">ета автономного округа является реализация соглашения о сотрудничестве по восстановлению и строительству объектов жилья и инфраструктуры в городском округе Макеевка Донецкой Народной Республики, а также в части гуманитарного и культурного сотрудничества.  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На ре</w:t>
      </w:r>
      <w:r>
        <w:rPr>
          <w:rFonts w:eastAsia="TimesNewRoman"/>
          <w:sz w:val="28"/>
          <w:szCs w:val="28"/>
        </w:rPr>
        <w:t xml:space="preserve">шение вопроса по расселению из аварийного жилья направлена новая адресная программа автономного округа с периодом реализации до 2030 года по переселению граждан из аварийного жилищного фонда, признанного таковым с 1 января 2017 года до 1 января 2022 года. 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pStyle w:val="994"/>
        <w:ind w:firstLine="708"/>
        <w:jc w:val="both"/>
        <w:spacing w:before="0" w:beforeAutospacing="0" w:after="0" w:afterAutospacing="0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В предстоящей трехлетке неизменными остаются приоритеты по поддержке семей с детьми, молодых семей, созданию благоприятных условий для рождения и воспитания детей, снижению уровня бедности, обеспечению занятости населения.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В сфере социального обслуживания продолжатся мероприятия по развитию экосистемы активного долголетия через внедрение проекта «Центр активного долголетия» в городе Ханты-Мансийске, оказание</w:t>
      </w:r>
      <w:r>
        <w:rPr>
          <w:rFonts w:eastAsia="TimesNewRoman"/>
          <w:sz w:val="28"/>
          <w:szCs w:val="28"/>
        </w:rPr>
        <w:t xml:space="preserve"> услуг</w:t>
      </w:r>
      <w:r>
        <w:rPr>
          <w:rFonts w:eastAsia="TimesNewRoman"/>
          <w:sz w:val="28"/>
          <w:szCs w:val="28"/>
        </w:rPr>
        <w:t xml:space="preserve"> долговременного ухода гражданам старшего поколения и инвалидам, развитие системы комплексной реабилитации, </w:t>
      </w:r>
      <w:r>
        <w:rPr>
          <w:rFonts w:eastAsia="TimesNewRoman"/>
          <w:sz w:val="28"/>
          <w:szCs w:val="28"/>
        </w:rPr>
        <w:t xml:space="preserve">абилитациии</w:t>
      </w:r>
      <w:r>
        <w:rPr>
          <w:rFonts w:eastAsia="TimesNewRoman"/>
          <w:sz w:val="28"/>
          <w:szCs w:val="28"/>
        </w:rPr>
        <w:t xml:space="preserve"> и комплексного сопровождения, организации на межведомственном уровне социальной занятости людей с инвалидностью, в том числе с ментальной инвалидностью.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Продолжится финансирование системы социального сопровождения по выводу граждан и семей с детьми из трудной жизненной ситуации и состояния бедности.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Бюджетная политика в сфере здравоохранения направлена на обеспечение доступности и качества медицинской помощи в соответствии с установленными государственными гарантиями в сфере охраны здоровья граждан.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В </w:t>
      </w:r>
      <w:r>
        <w:rPr>
          <w:rFonts w:eastAsia="TimesNewRoman"/>
          <w:sz w:val="28"/>
          <w:szCs w:val="28"/>
        </w:rPr>
        <w:t xml:space="preserve">ходе</w:t>
      </w:r>
      <w:r>
        <w:rPr>
          <w:rFonts w:eastAsia="TimesNewRoman"/>
          <w:sz w:val="28"/>
          <w:szCs w:val="28"/>
        </w:rPr>
        <w:t xml:space="preserve"> проектируемого нового национального проекта «Продолжительная и активная жизнь» обеспечены финансированием мероп</w:t>
      </w:r>
      <w:r>
        <w:rPr>
          <w:rFonts w:eastAsia="TimesNewRoman"/>
          <w:sz w:val="28"/>
          <w:szCs w:val="28"/>
        </w:rPr>
        <w:t xml:space="preserve">риятия по предотвращению преждевременной смертности населения от сердечно-сосудистых и онкологических заболеваний, по оптимальной для восстановления здоровья медицинской реабилитации, по раннему выявлению и лечению сахарного диабета, борьбе с гепатитом С. 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Предусмотрены дополнительные бюджетные ассигнования на проведение расширенного неонат</w:t>
      </w:r>
      <w:r>
        <w:rPr>
          <w:rFonts w:eastAsia="TimesNewRoman"/>
          <w:sz w:val="28"/>
          <w:szCs w:val="28"/>
        </w:rPr>
        <w:t xml:space="preserve">ального скрининга, обеспечение </w:t>
      </w:r>
      <w:r>
        <w:rPr>
          <w:rFonts w:eastAsia="TimesNewRoman"/>
          <w:sz w:val="28"/>
          <w:szCs w:val="28"/>
        </w:rPr>
        <w:t xml:space="preserve">отдельных категорий граждан лекарственными препаратами, включенными в перечень жизненно необходимых и важнейших лекарственных препаратов, а также для лечения заболеваний, включенных в перечень </w:t>
      </w:r>
      <w:r>
        <w:rPr>
          <w:rFonts w:eastAsia="TimesNewRoman"/>
          <w:sz w:val="28"/>
          <w:szCs w:val="28"/>
        </w:rPr>
        <w:t xml:space="preserve">жизнеугрожающих</w:t>
      </w:r>
      <w:r>
        <w:rPr>
          <w:rFonts w:eastAsia="TimesNewRoman"/>
          <w:sz w:val="28"/>
          <w:szCs w:val="28"/>
        </w:rPr>
        <w:t xml:space="preserve"> и хронических прогрессирующих редких (</w:t>
      </w:r>
      <w:r>
        <w:rPr>
          <w:rFonts w:eastAsia="TimesNewRoman"/>
          <w:sz w:val="28"/>
          <w:szCs w:val="28"/>
        </w:rPr>
        <w:t xml:space="preserve">орфанных</w:t>
      </w:r>
      <w:r>
        <w:rPr>
          <w:rFonts w:eastAsia="TimesNewRoman"/>
          <w:sz w:val="28"/>
          <w:szCs w:val="28"/>
        </w:rPr>
        <w:t xml:space="preserve">) заболеваний.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В целях перехода медицинских организаций к оказанию медицинской помощи на основе клинических рекомендаций предусмотрены средства на обеспечение современных и эффективных методов лечения лекарственной терапией в условиях стационара.  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Обеспечены финансированием расходы на </w:t>
      </w:r>
      <w:r>
        <w:rPr>
          <w:rFonts w:eastAsia="TimesNewRoman"/>
          <w:sz w:val="28"/>
          <w:szCs w:val="28"/>
        </w:rPr>
        <w:t xml:space="preserve">цифровизацию</w:t>
      </w:r>
      <w:r>
        <w:rPr>
          <w:rFonts w:eastAsia="TimesNewRoman"/>
          <w:sz w:val="28"/>
          <w:szCs w:val="28"/>
        </w:rPr>
        <w:t xml:space="preserve"> сферы здравоохранения, включающую развитие телемедицины, доступ населения к информации о собственном здоровье.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Продолжится модернизация первичного звена здравоохранения (включая строительство (реконструкцию), капитальный ремонт объектов здравоохранения, оснащение оборудованием и транспортное обеспечение).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Для решения проблемы дефицита медицинских кадров планируется направить бюджетные ассигнования на реализацию механизма целевого </w:t>
      </w:r>
      <w:r>
        <w:rPr>
          <w:rFonts w:eastAsia="TimesNewRoman"/>
          <w:sz w:val="28"/>
          <w:szCs w:val="28"/>
        </w:rPr>
        <w:t xml:space="preserve">обучения и материального стимулирования граждан, заключивших договоры о целевом обучении, осуществление специальных социальных выплат медицинским работникам, выплат по программе «Земский доктор».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Дополнительно направлены средства на увеличение объемов паллиативной помощи взрослым и детям, оказываемой выездными бригадами в целях улучшения качества жизни неизлечимо больных граждан.  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Бюджетная политика в сфере образования направлена на финансовое обеспечение мероприятий приоритетных направлений развития региональной системы образования в рамках проектируемых национальных проектов «Молодёжь и дети» и «Семья», в том числе на комп</w:t>
      </w:r>
      <w:r>
        <w:rPr>
          <w:rFonts w:eastAsia="TimesNewRoman"/>
          <w:sz w:val="28"/>
          <w:szCs w:val="28"/>
        </w:rPr>
        <w:t xml:space="preserve">лексное обновление материально-</w:t>
      </w:r>
      <w:r>
        <w:rPr>
          <w:rFonts w:eastAsia="TimesNewRoman"/>
          <w:sz w:val="28"/>
          <w:szCs w:val="28"/>
        </w:rPr>
        <w:t xml:space="preserve">технической базы образовательных организаций.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В плановом периоде продолжится создание 27 объектов образования, а также капитальный ремонт 19 школ.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Планируется реализация новых мероприятий, направленных на </w:t>
      </w:r>
      <w:r>
        <w:rPr>
          <w:sz w:val="28"/>
          <w:szCs w:val="28"/>
        </w:rPr>
        <w:t xml:space="preserve">софинансирование расходных обязательств муниципальных образований </w:t>
      </w:r>
      <w:r>
        <w:rPr>
          <w:sz w:val="28"/>
          <w:szCs w:val="28"/>
        </w:rPr>
        <w:t xml:space="preserve">автономного округа </w:t>
      </w:r>
      <w:r>
        <w:rPr>
          <w:sz w:val="28"/>
          <w:szCs w:val="28"/>
        </w:rPr>
        <w:t xml:space="preserve">по благоустройству прилегающих территорий, включ</w:t>
      </w:r>
      <w:r>
        <w:rPr>
          <w:sz w:val="28"/>
          <w:szCs w:val="28"/>
        </w:rPr>
        <w:t xml:space="preserve">ая создание спортивного ядра</w:t>
      </w:r>
      <w:r>
        <w:rPr>
          <w:sz w:val="28"/>
          <w:szCs w:val="28"/>
        </w:rPr>
        <w:t xml:space="preserve">,</w:t>
      </w:r>
      <w:bookmarkStart w:id="0" w:name="_GoBack"/>
      <w:r/>
      <w:bookmarkEnd w:id="0"/>
      <w:r>
        <w:rPr>
          <w:sz w:val="28"/>
          <w:szCs w:val="28"/>
        </w:rPr>
        <w:t xml:space="preserve"> муниципальных общеобразовательных организаций</w:t>
      </w:r>
      <w:r>
        <w:rPr>
          <w:sz w:val="28"/>
          <w:szCs w:val="28"/>
        </w:rPr>
        <w:t xml:space="preserve">, в которых проведен капитальный ремонт с привлечением средств из федерального бюджета.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Обеспечены финансированием мероприятия по переоснащению кабинетов образовательных организаций по учебным предметам «Основы безопасности и защиты Родины», «Труд» (Технология). 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Увеличены бюджетные ассигнования на реализацию государственных полномочий по организации и обеспечению отдыха и оздоровления детей, в том числе в этнической среде (предусмотрено увеличение стоимости путевок и доли охвата детей летним отдыхом </w:t>
      </w:r>
      <w:r>
        <w:rPr>
          <w:rFonts w:eastAsia="TimesNewRoman"/>
          <w:sz w:val="28"/>
          <w:szCs w:val="28"/>
        </w:rPr>
        <w:br/>
      </w:r>
      <w:r>
        <w:rPr>
          <w:rFonts w:eastAsia="TimesNewRoman"/>
          <w:sz w:val="28"/>
          <w:szCs w:val="28"/>
        </w:rPr>
        <w:t xml:space="preserve">с 3,95 до 5</w:t>
      </w:r>
      <w:r>
        <w:rPr>
          <w:rFonts w:eastAsia="TimesNewRoman"/>
          <w:sz w:val="28"/>
          <w:szCs w:val="28"/>
        </w:rPr>
        <w:t xml:space="preserve"> </w:t>
      </w:r>
      <w:r>
        <w:rPr>
          <w:rFonts w:eastAsia="TimesNewRoman"/>
          <w:sz w:val="28"/>
          <w:szCs w:val="28"/>
        </w:rPr>
        <w:t xml:space="preserve">%).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Обеспечено финансированием увеличение контрольных цифр приема обучающихся по программам среднего специального образования и высшего профессионального образования.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В сфере молодёжной политики продолжатся мероприятия по созданию условий для самореализации молодых людей,</w:t>
      </w:r>
      <w:r>
        <w:rPr>
          <w:rFonts w:eastAsia="TimesNewRoman"/>
          <w:sz w:val="28"/>
          <w:szCs w:val="28"/>
        </w:rPr>
        <w:t xml:space="preserve"> развития добровольчества и гражданской активности, международного молодежного сотрудничества, продвижения традиционных духовно-нравственных ценностей, реализации проектов патриотического воспитания, развития инфраструктуры в сфере молодежной политики.    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В плановом периоде запланированы расходы на строительство круглогодичного образовательного центра компетенций и регионального круглогодичного учебно-методического центра военно-патриотического воспитания молодежи «Авангард».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Бюджетная политика в сфере культуры направлена на содействие развитию культурного потенциала, в том числе через увеличение количества проводимых мероприятий посредством организации гастролей </w:t>
      </w:r>
      <w:r>
        <w:rPr>
          <w:rFonts w:eastAsia="TimesNewRoman"/>
          <w:sz w:val="28"/>
          <w:szCs w:val="28"/>
        </w:rPr>
        <w:t xml:space="preserve">ведущих творческих коллективов и артистов, а также использования культурного и туристского потенциалов, обладающих в автономном округе этнокультурным многообразием,</w:t>
      </w:r>
      <w:r>
        <w:t xml:space="preserve"> </w:t>
      </w:r>
      <w:r>
        <w:rPr>
          <w:rFonts w:eastAsia="TimesNewRoman"/>
          <w:sz w:val="28"/>
          <w:szCs w:val="28"/>
        </w:rPr>
        <w:t xml:space="preserve">развитие народных промыслов и креативных индустрий.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В предстоящей трехлетке предусмотрено строительство 3 объектов культуры, капитальный ремонт 4 учреждений культуры.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В целях эффективного расходования бюджетных средств в сфере культуры запланированы мероприятия по нормированию расходов на проведение мероприятий различного уровня, увеличению объема платных услуг.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В сфере физической культуры и спорта продолжится создани</w:t>
      </w:r>
      <w:r>
        <w:rPr>
          <w:rFonts w:eastAsia="TimesNewRoman"/>
          <w:sz w:val="28"/>
          <w:szCs w:val="28"/>
        </w:rPr>
        <w:t xml:space="preserve">е условий для занятий спортом для всех категорий населения, том числе путем строительства многофункциональных спортивных комплексов, спортивных комплексов с ледовыми аренами, центра боевых искусств, универсального спортивного комплекса, спортивного зала в </w:t>
      </w:r>
      <w:r>
        <w:rPr>
          <w:rFonts w:eastAsia="TimesNewRoman"/>
          <w:sz w:val="28"/>
          <w:szCs w:val="28"/>
        </w:rPr>
        <w:t xml:space="preserve">пгт</w:t>
      </w:r>
      <w:r>
        <w:rPr>
          <w:rFonts w:eastAsia="TimesNewRoman"/>
          <w:sz w:val="28"/>
          <w:szCs w:val="28"/>
        </w:rPr>
        <w:t xml:space="preserve">. Березово.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Предусмотрены средства на проведение международных, всероссийских, окружных физкультурно-спортивных мероприятий и соревнований, а также обеспечение участия спортсменов сборных команд </w:t>
      </w:r>
      <w:r>
        <w:rPr>
          <w:rFonts w:eastAsia="TimesNewRoman"/>
          <w:sz w:val="28"/>
          <w:szCs w:val="28"/>
        </w:rPr>
        <w:t xml:space="preserve">автономного округа</w:t>
      </w:r>
      <w:r>
        <w:rPr>
          <w:rFonts w:eastAsia="TimesNewRoman"/>
          <w:sz w:val="28"/>
          <w:szCs w:val="28"/>
        </w:rPr>
        <w:t xml:space="preserve"> в соревнованиях всероссийского и международного уровней.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Начиная с 2025 года планируется реализация новых мероприятий, направленных на капитальный ремонт муниципальных учреждений культуры, образования, спор</w:t>
      </w:r>
      <w:r>
        <w:rPr>
          <w:rFonts w:eastAsia="TimesNewRoman"/>
          <w:sz w:val="28"/>
          <w:szCs w:val="28"/>
        </w:rPr>
        <w:t xml:space="preserve">та и иных социальных учреждений автономного округа.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В целях обеспечения условий безопасной жи</w:t>
      </w:r>
      <w:r>
        <w:rPr>
          <w:rFonts w:eastAsia="TimesNewRoman"/>
          <w:sz w:val="28"/>
          <w:szCs w:val="28"/>
        </w:rPr>
        <w:t xml:space="preserve">знедеятельности населения автономного округа, повышения эффективности действий при тушении пожаров и проведении первоочередных аварийно-спасательных работ в предстоящей трехлетке дополнительно планируется направить финансовые средства на обеспечение пожарн</w:t>
      </w:r>
      <w:r>
        <w:rPr>
          <w:rFonts w:eastAsia="TimesNewRoman"/>
          <w:sz w:val="28"/>
          <w:szCs w:val="28"/>
        </w:rPr>
        <w:t xml:space="preserve">ой безопасности граждан, проживающих в удаленных и труднодоступных населенных пунктах с низкой плотностью населения, развитие и укрепление технической оснащенности подразделений противопожарной службы автономного округа, приобретение аварийно-спасательного</w:t>
      </w:r>
      <w:r>
        <w:rPr>
          <w:rFonts w:eastAsia="TimesNewRoman"/>
          <w:sz w:val="28"/>
          <w:szCs w:val="28"/>
        </w:rPr>
        <w:t xml:space="preserve"> оборудования, в том числе средств индивидуальной защиты органов дыхания, боевой одежды и снаряжения, зданий сборно-разборного типа для стоянки пожарной техники и размещения личного состава противопожарной службы в 15 населенных пунктах автономного округа.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В сфере обеспечения стабильной благополучной эпизоотической и эпидемиологической обстановки в п</w:t>
      </w:r>
      <w:r>
        <w:rPr>
          <w:rFonts w:eastAsia="TimesNewRoman"/>
          <w:sz w:val="28"/>
          <w:szCs w:val="28"/>
        </w:rPr>
        <w:t xml:space="preserve">редстоящей трехлетке дополнительно планируется направить финансовые средства на создание вивария в городе Ханты-Мансийске, что обеспечит возможность оперативно проводить лабораторную диагностику на выявление особо опасных болезней животных непосредственно </w:t>
      </w:r>
      <w:r>
        <w:rPr>
          <w:rFonts w:eastAsia="TimesNewRoman"/>
          <w:sz w:val="28"/>
          <w:szCs w:val="28"/>
        </w:rPr>
        <w:t xml:space="preserve">в автономном округе</w:t>
      </w:r>
      <w:r>
        <w:rPr>
          <w:rFonts w:eastAsia="TimesNewRoman"/>
          <w:sz w:val="28"/>
          <w:szCs w:val="28"/>
        </w:rPr>
        <w:t xml:space="preserve"> без выезда в соседние субъекты.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На развитие традиционной хозяйственной деятельности коренных малочисленных народов Севера, повышени</w:t>
      </w:r>
      <w:r>
        <w:rPr>
          <w:rFonts w:eastAsia="TimesNewRoman"/>
          <w:sz w:val="28"/>
          <w:szCs w:val="28"/>
        </w:rPr>
        <w:t xml:space="preserve">е</w:t>
      </w:r>
      <w:r>
        <w:rPr>
          <w:rFonts w:eastAsia="TimesNewRoman"/>
          <w:sz w:val="28"/>
          <w:szCs w:val="28"/>
        </w:rPr>
        <w:t xml:space="preserve"> уровня их трудоустройства и </w:t>
      </w:r>
      <w:r>
        <w:rPr>
          <w:rFonts w:eastAsia="TimesNewRoman"/>
          <w:sz w:val="28"/>
          <w:szCs w:val="28"/>
        </w:rPr>
        <w:t xml:space="preserve">самозанятости</w:t>
      </w:r>
      <w:r>
        <w:rPr>
          <w:rFonts w:eastAsia="TimesNewRoman"/>
          <w:sz w:val="28"/>
          <w:szCs w:val="28"/>
        </w:rPr>
        <w:t xml:space="preserve"> в предстоящей трехлетке дополнительно планируется направить финансовые средства на увеличение размера грантов в форме субсидий для реализации проектов, способствующих развитию традиционной хозяйственной деятельности. 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Предусмотрено субсидирование расходов на транспортное обслуживание населения автомобильным, железнодорожным, воздушным и водным транспортом, что позволит удешевить в среднем на 84,1</w:t>
      </w:r>
      <w:r>
        <w:rPr>
          <w:rFonts w:eastAsia="TimesNewRoman"/>
          <w:sz w:val="28"/>
          <w:szCs w:val="28"/>
        </w:rPr>
        <w:t xml:space="preserve"> </w:t>
      </w:r>
      <w:r>
        <w:rPr>
          <w:rFonts w:eastAsia="TimesNewRoman"/>
          <w:sz w:val="28"/>
          <w:szCs w:val="28"/>
        </w:rPr>
        <w:t xml:space="preserve">% стоимость проезда для граждан на пригородных и межмуниципальных маршрутах. 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Планируется направить средства на софинансирование расходных обязательств муниципальных образований автономного округа на обновление подвижного состава наземного общественного пассажирского транспорта на муниципальных маршрутах.</w:t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994"/>
        <w:ind w:firstLine="708"/>
        <w:jc w:val="both"/>
        <w:spacing w:before="0" w:beforeAutospacing="0" w:after="0" w:afterAutospacing="0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сфере дорожного хозяйства бюджетная политика сконцентрирована на приведение в нормативное состояние автомобильных дорог регионального значения, а также реализации мероприятий на строительство (реконструкцию)</w:t>
      </w:r>
      <w:r>
        <w:rPr>
          <w:rFonts w:eastAsia="Calibri"/>
          <w:sz w:val="28"/>
          <w:szCs w:val="28"/>
        </w:rPr>
        <w:t xml:space="preserve">,</w:t>
      </w:r>
      <w:r>
        <w:rPr>
          <w:rFonts w:eastAsia="Calibri"/>
          <w:sz w:val="28"/>
          <w:szCs w:val="28"/>
        </w:rPr>
        <w:t xml:space="preserve"> капитальный ремонт автомобильных дорог межмуниципально</w:t>
      </w:r>
      <w:r>
        <w:rPr>
          <w:rFonts w:eastAsia="Calibri"/>
          <w:sz w:val="28"/>
          <w:szCs w:val="28"/>
        </w:rPr>
        <w:t xml:space="preserve">го и местного значения, в ходе</w:t>
      </w:r>
      <w:r>
        <w:rPr>
          <w:rFonts w:eastAsia="Calibri"/>
          <w:sz w:val="28"/>
          <w:szCs w:val="28"/>
        </w:rPr>
        <w:t xml:space="preserve"> единой программы, формируемой на региональном уровне</w:t>
      </w:r>
      <w:r>
        <w:rPr>
          <w:rFonts w:eastAsia="Calibri"/>
          <w:sz w:val="28"/>
          <w:szCs w:val="28"/>
        </w:rPr>
        <w:t xml:space="preserve"> (</w:t>
      </w:r>
      <w:r>
        <w:rPr>
          <w:rFonts w:eastAsia="Calibri"/>
          <w:sz w:val="28"/>
          <w:szCs w:val="28"/>
        </w:rPr>
        <w:t xml:space="preserve">государственная программа автономного округа «</w:t>
      </w:r>
      <w:r>
        <w:rPr>
          <w:sz w:val="28"/>
          <w:szCs w:val="28"/>
        </w:rPr>
        <w:t xml:space="preserve">Современная транспортная система</w:t>
      </w:r>
      <w:r>
        <w:rPr>
          <w:rFonts w:eastAsia="Calibri"/>
          <w:sz w:val="28"/>
          <w:szCs w:val="28"/>
        </w:rPr>
        <w:t xml:space="preserve">»</w:t>
      </w:r>
      <w:r>
        <w:rPr>
          <w:rFonts w:eastAsia="Calibri"/>
          <w:sz w:val="28"/>
          <w:szCs w:val="28"/>
        </w:rPr>
        <w:t xml:space="preserve">, утвержденная постановлением Правительства автономного округа от 10 ноября 2023 года № 559-п</w:t>
      </w:r>
      <w:r>
        <w:rPr>
          <w:rFonts w:eastAsia="Calibri"/>
          <w:sz w:val="28"/>
          <w:szCs w:val="28"/>
        </w:rPr>
        <w:t xml:space="preserve">)</w:t>
      </w:r>
      <w:r>
        <w:rPr>
          <w:rFonts w:eastAsia="Calibri"/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Предусмотрена государственная поддержка субъект</w:t>
      </w:r>
      <w:r>
        <w:rPr>
          <w:rFonts w:eastAsia="TimesNewRoman"/>
          <w:sz w:val="28"/>
          <w:szCs w:val="28"/>
        </w:rPr>
        <w:t xml:space="preserve">ов</w:t>
      </w:r>
      <w:r>
        <w:rPr>
          <w:rFonts w:eastAsia="TimesNewRoman"/>
          <w:sz w:val="28"/>
          <w:szCs w:val="28"/>
        </w:rPr>
        <w:t xml:space="preserve"> малого и среднего предпринимательства, осуществляемая через созданные в автономном округе институты поддержки бизнеса.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Фондом поддержки предпринимательства Югры «Мой Бизнес» продолжится предоставление финансовой поддержки, направленной на стимулирование экспортной деятельности субъектов малого и среднего предпринимательства в условиях внешнего </w:t>
      </w:r>
      <w:r>
        <w:rPr>
          <w:rFonts w:eastAsia="TimesNewRoman"/>
          <w:sz w:val="28"/>
          <w:szCs w:val="28"/>
        </w:rPr>
        <w:t xml:space="preserve">санкционного</w:t>
      </w:r>
      <w:r>
        <w:rPr>
          <w:rFonts w:eastAsia="TimesNewRoman"/>
          <w:sz w:val="28"/>
          <w:szCs w:val="28"/>
        </w:rPr>
        <w:t xml:space="preserve"> давления, финансовой поддержки субъектам малого и среднег</w:t>
      </w:r>
      <w:r>
        <w:rPr>
          <w:rFonts w:eastAsia="TimesNewRoman"/>
          <w:sz w:val="28"/>
          <w:szCs w:val="28"/>
        </w:rPr>
        <w:t xml:space="preserve">о предпринимательства, реализующим проекты по модернизации производства и повышению уровня технологической готовности, а также реализующим инновационные проекты, финансовой поддержки в виде грантов субъектам, включенным в реестр социальных предпринимателей</w:t>
      </w:r>
      <w:r>
        <w:rPr>
          <w:rFonts w:eastAsia="TimesNewRoman"/>
          <w:sz w:val="28"/>
          <w:szCs w:val="28"/>
        </w:rPr>
        <w:t xml:space="preserve">,</w:t>
      </w:r>
      <w:r>
        <w:rPr>
          <w:rFonts w:eastAsia="TimesNewRoman"/>
          <w:sz w:val="28"/>
          <w:szCs w:val="28"/>
        </w:rPr>
        <w:t xml:space="preserve"> и иных мер поддержки.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Фондом «Югорская региональная </w:t>
      </w:r>
      <w:r>
        <w:rPr>
          <w:rFonts w:eastAsia="TimesNewRoman"/>
          <w:sz w:val="28"/>
          <w:szCs w:val="28"/>
        </w:rPr>
        <w:t xml:space="preserve">микрокредитная</w:t>
      </w:r>
      <w:r>
        <w:rPr>
          <w:rFonts w:eastAsia="TimesNewRoman"/>
          <w:sz w:val="28"/>
          <w:szCs w:val="28"/>
        </w:rPr>
        <w:t xml:space="preserve"> компания», Фондом содействия кредитованию малого и среднего бизнеса «Югорская региональная гарантийная организация» продолжится предоставление субъектам малого и среднего предпринимательства </w:t>
      </w:r>
      <w:r>
        <w:rPr>
          <w:rFonts w:eastAsia="TimesNewRoman"/>
          <w:sz w:val="28"/>
          <w:szCs w:val="28"/>
        </w:rPr>
        <w:t xml:space="preserve">микрозаймов</w:t>
      </w:r>
      <w:r>
        <w:rPr>
          <w:rFonts w:eastAsia="TimesNewRoman"/>
          <w:sz w:val="28"/>
          <w:szCs w:val="28"/>
        </w:rPr>
        <w:t xml:space="preserve"> и поручительств.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В целях диверсификации экономики автономного округа в предстоящей трехлетке продолжится создание условий для локализации в </w:t>
      </w:r>
      <w:r>
        <w:rPr>
          <w:rFonts w:eastAsia="TimesNewRoman"/>
          <w:sz w:val="28"/>
          <w:szCs w:val="28"/>
        </w:rPr>
        <w:t xml:space="preserve">регионе новых промышленных предприятий, в том числе путем предоставления мер поддержки на реализацию инвестиционных проектов.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В сфере агропромышленного комплекса с участием средств бюджета автономного округа планируется к реализации новый инвестиционный проект по созданию племенного репродуктора II порядка в Нефтеюганском </w:t>
      </w:r>
      <w:r>
        <w:rPr>
          <w:rFonts w:eastAsia="TimesNewRoman"/>
          <w:sz w:val="28"/>
          <w:szCs w:val="28"/>
        </w:rPr>
        <w:t xml:space="preserve">муниципальном </w:t>
      </w:r>
      <w:r>
        <w:rPr>
          <w:rFonts w:eastAsia="TimesNewRoman"/>
          <w:sz w:val="28"/>
          <w:szCs w:val="28"/>
        </w:rPr>
        <w:t xml:space="preserve">районе производительностью до 7,1 млн штук инкубационных яиц в год.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Продолжится реализация инвестиционного проекта «Создание производства отечественных белковых компонентов – основы сухих молочных продуктов для питания новорожденных и детей до 6 месяцев» в Советском </w:t>
      </w:r>
      <w:r>
        <w:rPr>
          <w:rFonts w:eastAsia="TimesNewRoman"/>
          <w:sz w:val="28"/>
          <w:szCs w:val="28"/>
        </w:rPr>
        <w:t xml:space="preserve">муниципальном </w:t>
      </w:r>
      <w:r>
        <w:rPr>
          <w:rFonts w:eastAsia="TimesNewRoman"/>
          <w:sz w:val="28"/>
          <w:szCs w:val="28"/>
        </w:rPr>
        <w:t xml:space="preserve">районе. 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Продолжится предоставление мер поддержки предприятиям обрабатывающего п</w:t>
      </w:r>
      <w:r>
        <w:rPr>
          <w:rFonts w:eastAsia="TimesNewRoman"/>
          <w:sz w:val="28"/>
          <w:szCs w:val="28"/>
        </w:rPr>
        <w:t xml:space="preserve">роизводства Фондом развития автономного округа</w:t>
      </w:r>
      <w:r>
        <w:rPr>
          <w:rFonts w:eastAsia="TimesNewRoman"/>
          <w:sz w:val="28"/>
          <w:szCs w:val="28"/>
        </w:rPr>
        <w:t xml:space="preserve">, входящим в состав инфраструктуры поддержки деятельности в сфере промышленности, в виде целевых займов.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Промышленным предприятиям автономного ок</w:t>
      </w:r>
      <w:r>
        <w:rPr>
          <w:rFonts w:eastAsia="TimesNewRoman"/>
          <w:sz w:val="28"/>
          <w:szCs w:val="28"/>
        </w:rPr>
        <w:t xml:space="preserve">руга в предстоящей трехлетке продолжится предоставление возмещения части затрат на реализацию инвестиционных проектов по модернизации и техническому перевооружению производственных мощностей, связанных с приобретением нового технологического оборудования. 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В целях снижения аварийности коммунальной инфраструктуры планируется предоставление из бюджета автономного округа субсидий муниципальным образованиям </w:t>
      </w:r>
      <w:r>
        <w:rPr>
          <w:rFonts w:eastAsia="TimesNewRoman"/>
          <w:sz w:val="28"/>
          <w:szCs w:val="28"/>
        </w:rPr>
        <w:t xml:space="preserve">автономного округа </w:t>
      </w:r>
      <w:r>
        <w:rPr>
          <w:rFonts w:eastAsia="TimesNewRoman"/>
          <w:sz w:val="28"/>
          <w:szCs w:val="28"/>
        </w:rPr>
        <w:t xml:space="preserve">на ежегодную замену (не менее 5</w:t>
      </w:r>
      <w:r>
        <w:rPr>
          <w:rFonts w:eastAsia="TimesNewRoman"/>
          <w:sz w:val="28"/>
          <w:szCs w:val="28"/>
        </w:rPr>
        <w:t xml:space="preserve"> </w:t>
      </w:r>
      <w:r>
        <w:rPr>
          <w:rFonts w:eastAsia="TimesNewRoman"/>
          <w:sz w:val="28"/>
          <w:szCs w:val="28"/>
        </w:rPr>
        <w:t xml:space="preserve">% в год) ветхих инженерных сетей.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Кроме того, с участием средств бюджета автономного округа планируется реализация концессионного соглашения в городе </w:t>
      </w:r>
      <w:r>
        <w:rPr>
          <w:rFonts w:eastAsia="TimesNewRoman"/>
          <w:sz w:val="28"/>
          <w:szCs w:val="28"/>
        </w:rPr>
        <w:t xml:space="preserve">Нягани</w:t>
      </w:r>
      <w:r>
        <w:rPr>
          <w:rFonts w:eastAsia="TimesNewRoman"/>
          <w:sz w:val="28"/>
          <w:szCs w:val="28"/>
        </w:rPr>
        <w:t xml:space="preserve"> по модернизации (реконструкции) объектов коммунальной инфраструктуры. 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В предстоящей трехлетке дополнительно планируется направить финансовые средства на возмещение </w:t>
      </w:r>
      <w:r>
        <w:rPr>
          <w:rFonts w:eastAsia="TimesNewRoman"/>
          <w:sz w:val="28"/>
          <w:szCs w:val="28"/>
        </w:rPr>
        <w:t xml:space="preserve">ресурсоснабжающим</w:t>
      </w:r>
      <w:r>
        <w:rPr>
          <w:rFonts w:eastAsia="TimesNewRoman"/>
          <w:sz w:val="28"/>
          <w:szCs w:val="28"/>
        </w:rPr>
        <w:t xml:space="preserve"> организациям недополученных доходов в связи с применением понижающих коэффициентов к нормативам потребления коммунальных услуг. 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Бюджетные </w:t>
      </w:r>
      <w:r>
        <w:rPr>
          <w:rFonts w:eastAsia="TimesNewRoman"/>
          <w:sz w:val="28"/>
          <w:szCs w:val="28"/>
        </w:rPr>
        <w:t xml:space="preserve">инвестиции из бюджета автономного округа в первоочередном порядке будут направлены на завершение ранее начатых строительством объектов, в том числе на реализацию инфраструктурных проектов, источником финансового обеспечения которых являются бюджетные креди</w:t>
      </w:r>
      <w:r>
        <w:rPr>
          <w:rFonts w:eastAsia="TimesNewRoman"/>
          <w:sz w:val="28"/>
          <w:szCs w:val="28"/>
        </w:rPr>
        <w:t xml:space="preserve">ты из федерального бюджета, создание новых объектов физической культуры и спорта в соответствии с концессионными соглашениями, в том числе за счет средств федерального бюджета, строительство объекта «Мостовой переход через реку Обь в районе города Сургут».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По муниципальным образованиям автономного округа определены приоритеты в части строительства объектов социальной сферы, жилищно-коммунального комплекса, которые </w:t>
      </w:r>
      <w:r>
        <w:rPr>
          <w:rFonts w:eastAsia="TimesNewRoman"/>
          <w:sz w:val="28"/>
          <w:szCs w:val="28"/>
        </w:rPr>
        <w:t xml:space="preserve">будут </w:t>
      </w:r>
      <w:r>
        <w:rPr>
          <w:rFonts w:eastAsia="TimesNewRoman"/>
          <w:sz w:val="28"/>
          <w:szCs w:val="28"/>
        </w:rPr>
        <w:t xml:space="preserve">учтены в бюджете на очередной трехлетний период.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Планируется продолжение реализации </w:t>
      </w:r>
      <w:r>
        <w:rPr>
          <w:rFonts w:eastAsia="TimesNewRoman"/>
          <w:sz w:val="28"/>
          <w:szCs w:val="28"/>
        </w:rPr>
        <w:t xml:space="preserve">финансовоемких</w:t>
      </w:r>
      <w:r>
        <w:rPr>
          <w:rFonts w:eastAsia="TimesNewRoman"/>
          <w:sz w:val="28"/>
          <w:szCs w:val="28"/>
        </w:rPr>
        <w:t xml:space="preserve"> инвестиционных проектов, способствующих диверсификации экономики автономного округа, инновационного научно-технологического центра «ЮНИТИ ПАРК», инвестиционного проекта «Промышленная площадка г.</w:t>
      </w:r>
      <w:r>
        <w:rPr>
          <w:rFonts w:eastAsia="TimesNewRoman"/>
          <w:sz w:val="28"/>
          <w:szCs w:val="28"/>
        </w:rPr>
        <w:t xml:space="preserve"> </w:t>
      </w:r>
      <w:r>
        <w:rPr>
          <w:rFonts w:eastAsia="TimesNewRoman"/>
          <w:sz w:val="28"/>
          <w:szCs w:val="28"/>
        </w:rPr>
        <w:t xml:space="preserve">Нягань».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С учетом мнения жителей автономного округа продолжится реализация мероприятий по благоустройству территорий муниципальных образований</w:t>
      </w:r>
      <w:r>
        <w:rPr>
          <w:rFonts w:eastAsia="TimesNewRoman"/>
          <w:sz w:val="28"/>
          <w:szCs w:val="28"/>
        </w:rPr>
        <w:t xml:space="preserve"> автономного округа</w:t>
      </w:r>
      <w:r>
        <w:rPr>
          <w:rFonts w:eastAsia="TimesNewRoman"/>
          <w:sz w:val="28"/>
          <w:szCs w:val="28"/>
        </w:rPr>
        <w:t xml:space="preserve">,</w:t>
      </w:r>
      <w:r>
        <w:rPr>
          <w:rFonts w:eastAsia="TimesNewRoman"/>
          <w:sz w:val="28"/>
          <w:szCs w:val="28"/>
        </w:rPr>
        <w:t xml:space="preserve"> площадей, набережных, улиц, пешеходных зон, скверов, парков, дворовых территорий и иных мероприятий по созданию комфортных условий проживания граждан.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Ответственными исполнителями государственных программ автономного округа должна быть обеспечена стратегическая </w:t>
      </w:r>
      <w:r>
        <w:rPr>
          <w:rFonts w:eastAsia="TimesNewRoman"/>
          <w:sz w:val="28"/>
          <w:szCs w:val="28"/>
        </w:rPr>
        <w:t xml:space="preserve">приоритизация</w:t>
      </w:r>
      <w:r>
        <w:rPr>
          <w:rFonts w:eastAsia="TimesNewRoman"/>
          <w:sz w:val="28"/>
          <w:szCs w:val="28"/>
        </w:rPr>
        <w:t xml:space="preserve"> расходов и концентрация ресурсов на наиболее важных направлениях, исходя из необходимости достижения национальных целей развития и приоритетов социально-экономического развития Российской Федерации и автономного округа. 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В целях оценки влияния решений по принимаемым бюджетным обязательствам на долгосрочную устойчивость бюджета автономного округа внедряется новый инструмент среднесрочного план</w:t>
      </w:r>
      <w:r>
        <w:rPr>
          <w:rFonts w:eastAsia="TimesNewRoman"/>
          <w:sz w:val="28"/>
          <w:szCs w:val="28"/>
        </w:rPr>
        <w:t xml:space="preserve">ирования расходов – перспективный финансовый план. Повышению качества долгосрочного планирования будет способствовать синхронизация данных бюджетного прогноза, перспективного финансового плана и параметров финансового обеспечения государственных программ, </w:t>
      </w:r>
      <w:r>
        <w:rPr>
          <w:rFonts w:eastAsia="TimesNewRoman"/>
          <w:sz w:val="28"/>
          <w:szCs w:val="28"/>
        </w:rPr>
        <w:t xml:space="preserve">усовершенствовование</w:t>
      </w:r>
      <w:r>
        <w:rPr>
          <w:rFonts w:eastAsia="TimesNewRoman"/>
          <w:sz w:val="28"/>
          <w:szCs w:val="28"/>
        </w:rPr>
        <w:t xml:space="preserve"> системы обоснований бюджетных ассигнований. 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Приоритеты бюджетной политики автономного округа на 2025-2027 годы в сфере межбюджетных отношений п</w:t>
      </w:r>
      <w:r>
        <w:rPr>
          <w:rFonts w:eastAsia="TimesNewRoman"/>
          <w:sz w:val="28"/>
          <w:szCs w:val="28"/>
        </w:rPr>
        <w:t xml:space="preserve">о-прежнему ориентированы на создание условий для поддержания устойчивости и сбалансированности бюджетов муниципальных образований автономного округа, совершенствование предоставления межбюджетных трансфертов, стимулирование органов местного самоуправления </w:t>
      </w:r>
      <w:r>
        <w:rPr>
          <w:rFonts w:eastAsia="TimesNewRoman"/>
          <w:sz w:val="28"/>
          <w:szCs w:val="28"/>
        </w:rPr>
        <w:t xml:space="preserve">муниципальных образований автономного округа </w:t>
      </w:r>
      <w:r>
        <w:rPr>
          <w:rFonts w:eastAsia="TimesNewRoman"/>
          <w:sz w:val="28"/>
          <w:szCs w:val="28"/>
        </w:rPr>
        <w:t xml:space="preserve">к наращиванию налогового потенциала, эффективному муниципальному управлению. 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В целях выравнивания финансовых возможностей муниципальных образований </w:t>
      </w:r>
      <w:r>
        <w:rPr>
          <w:rFonts w:eastAsia="TimesNewRoman"/>
          <w:sz w:val="28"/>
          <w:szCs w:val="28"/>
        </w:rPr>
        <w:t xml:space="preserve">автономного округа </w:t>
      </w:r>
      <w:r>
        <w:rPr>
          <w:rFonts w:eastAsia="TimesNewRoman"/>
          <w:sz w:val="28"/>
          <w:szCs w:val="28"/>
        </w:rPr>
        <w:t xml:space="preserve">по решению вопросов местного значения и обеспечения равного доступа жителей региона к получению муниципальных услуг объемы «выравнивающих» межбюджетных трансфертов проиндексированы в 2025-2027 годах на 4,0</w:t>
      </w:r>
      <w:r>
        <w:rPr>
          <w:rFonts w:eastAsia="TimesNewRoman"/>
          <w:sz w:val="28"/>
          <w:szCs w:val="28"/>
        </w:rPr>
        <w:t xml:space="preserve"> </w:t>
      </w:r>
      <w:r>
        <w:rPr>
          <w:rFonts w:eastAsia="TimesNewRoman"/>
          <w:sz w:val="28"/>
          <w:szCs w:val="28"/>
        </w:rPr>
        <w:t xml:space="preserve">% соответственно по годам.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Продолжится предоставление первой части дотации на поддержку мер по обеспечению сбалансированности бюджетов муниципальных образований</w:t>
      </w:r>
      <w:r>
        <w:t xml:space="preserve"> </w:t>
      </w:r>
      <w:r>
        <w:rPr>
          <w:sz w:val="28"/>
          <w:szCs w:val="28"/>
        </w:rPr>
        <w:t xml:space="preserve">автономного округа</w:t>
      </w:r>
      <w:r>
        <w:t xml:space="preserve"> </w:t>
      </w:r>
      <w:r>
        <w:rPr>
          <w:rFonts w:eastAsia="TimesNewRoman"/>
          <w:sz w:val="28"/>
          <w:szCs w:val="28"/>
        </w:rPr>
        <w:t xml:space="preserve">на частичное обеспечение расходных обязательств, связанных с повышением оплаты труда работников бюджетной сферы, в том числе в целях обеспечения достигнутого уровня соотношений оплаты труда отдельных категорий работников, попадающих </w:t>
      </w:r>
      <w:r>
        <w:rPr>
          <w:rFonts w:eastAsia="TimesNewRoman"/>
          <w:sz w:val="28"/>
          <w:szCs w:val="28"/>
        </w:rPr>
        <w:t xml:space="preserve">под действие указов № 597, № 761, № 1688, </w:t>
      </w:r>
      <w:r>
        <w:rPr>
          <w:sz w:val="28"/>
          <w:szCs w:val="28"/>
        </w:rPr>
        <w:t xml:space="preserve">индексации фонда оплаты труда на 4 % с 1 октября 2025 года по категориям работников муниципальных учреждений, не </w:t>
      </w:r>
      <w:r>
        <w:rPr>
          <w:rFonts w:eastAsia="TimesNewRoman"/>
          <w:sz w:val="28"/>
          <w:szCs w:val="28"/>
        </w:rPr>
        <w:t xml:space="preserve">попадающим под действие указов № 597, № 761, </w:t>
      </w:r>
      <w:r>
        <w:rPr>
          <w:rFonts w:eastAsia="TimesNewRoman"/>
          <w:sz w:val="28"/>
          <w:szCs w:val="28"/>
        </w:rPr>
        <w:t xml:space="preserve">№ 1688 </w:t>
      </w:r>
      <w:r>
        <w:rPr>
          <w:rFonts w:eastAsia="TimesNewRoman"/>
          <w:sz w:val="28"/>
          <w:szCs w:val="28"/>
        </w:rPr>
        <w:t xml:space="preserve">и </w:t>
      </w:r>
      <w:r>
        <w:rPr>
          <w:rFonts w:eastAsia="TimesNewRoman"/>
          <w:sz w:val="28"/>
          <w:szCs w:val="28"/>
        </w:rPr>
        <w:t xml:space="preserve">повышения МРОТ с 1 января 2025 года.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На 2025 год в составе первой части дотации также предусмотрено </w:t>
      </w:r>
      <w:r>
        <w:rPr>
          <w:rFonts w:eastAsia="TimesNewRoman"/>
          <w:sz w:val="28"/>
          <w:szCs w:val="28"/>
        </w:rPr>
        <w:t xml:space="preserve">обеспечение расходных обязательств муниципальных образований </w:t>
      </w:r>
      <w:r>
        <w:rPr>
          <w:rFonts w:eastAsia="TimesNewRoman"/>
          <w:sz w:val="28"/>
          <w:szCs w:val="28"/>
        </w:rPr>
        <w:t xml:space="preserve">автономного округа </w:t>
      </w:r>
      <w:r>
        <w:rPr>
          <w:sz w:val="28"/>
          <w:szCs w:val="28"/>
        </w:rPr>
        <w:t xml:space="preserve">на оплату труд</w:t>
      </w:r>
      <w:r>
        <w:rPr>
          <w:sz w:val="28"/>
          <w:szCs w:val="28"/>
        </w:rPr>
        <w:t xml:space="preserve">а работников муниципальных общеобразовательных организаций и образовательных организаций дошкольного образования, не участвующих в реализации основных общеобразовательных программ в соответствии с федеральными государственными образовательными стандартами.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Планируется продолжить рассмотрение подходов к установлению единого предельного уровня софинансирования расходных обязательств муниципальных образований </w:t>
      </w:r>
      <w:r>
        <w:rPr>
          <w:rFonts w:eastAsia="TimesNewRoman"/>
          <w:sz w:val="28"/>
          <w:szCs w:val="28"/>
        </w:rPr>
        <w:t xml:space="preserve">автономного округа </w:t>
      </w:r>
      <w:r>
        <w:rPr>
          <w:rFonts w:eastAsia="TimesNewRoman"/>
          <w:sz w:val="28"/>
          <w:szCs w:val="28"/>
        </w:rPr>
        <w:t xml:space="preserve">из бюджета автономного округа с учетом уровня их бюджетной обеспеченности. 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В связи с ростом численности населения, протяженности и площади дорог, площади жилого фонда, количества объек</w:t>
      </w:r>
      <w:r>
        <w:rPr>
          <w:rFonts w:eastAsia="TimesNewRoman"/>
          <w:sz w:val="28"/>
          <w:szCs w:val="28"/>
        </w:rPr>
        <w:t xml:space="preserve">тов благоустройства возрастают расходы города Ханты-Мансийска на осуществление функций административного центра автономного округа, в связи с чем пересмотрен базовый объем субсидии бюджету города Ханты-Мансийска пропорционально росту численности населения.</w:t>
      </w:r>
      <w:r>
        <w:rPr>
          <w:rFonts w:eastAsia="TimesNewRoman"/>
          <w:sz w:val="28"/>
          <w:szCs w:val="28"/>
        </w:rPr>
      </w:r>
      <w:r>
        <w:rPr>
          <w:rFonts w:eastAsia="TimesNewRoman"/>
          <w:sz w:val="28"/>
          <w:szCs w:val="28"/>
        </w:rPr>
      </w:r>
    </w:p>
    <w:p>
      <w:pPr>
        <w:contextualSpacing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предстоящей трехлетке будет продолжено предоставление муниципальным образованиям автономного округа из бюджета автономного округа ст</w:t>
      </w:r>
      <w:r>
        <w:rPr>
          <w:sz w:val="28"/>
          <w:szCs w:val="28"/>
        </w:rPr>
        <w:t xml:space="preserve">имулирующих дотаций за высокие достижения в сфере управления муниципальными финансами и деятельности органов местного самоуправления, а также за достижение высоких показателей по росту налогового потенциала и качеству планирования доходов местных бюджетов.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3"/>
        <w:ind w:left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83"/>
        <w:ind w:left="0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>
        <w:rPr>
          <w:rFonts w:ascii="Times New Roman" w:hAnsi="Times New Roman"/>
          <w:sz w:val="28"/>
          <w:szCs w:val="28"/>
          <w:lang w:val="en-US"/>
        </w:rPr>
        <w:t xml:space="preserve">III</w:t>
      </w:r>
      <w:r>
        <w:rPr>
          <w:rFonts w:ascii="Times New Roman" w:hAnsi="Times New Roman"/>
          <w:sz w:val="28"/>
          <w:szCs w:val="28"/>
        </w:rPr>
        <w:t xml:space="preserve">. Основные направления </w:t>
      </w:r>
      <w:r>
        <w:rPr>
          <w:rFonts w:ascii="Times New Roman" w:hAnsi="Times New Roman"/>
          <w:bCs/>
          <w:sz w:val="28"/>
          <w:szCs w:val="28"/>
        </w:rPr>
        <w:t xml:space="preserve">долговой </w:t>
      </w:r>
      <w:r>
        <w:rPr>
          <w:rFonts w:ascii="Times New Roman" w:hAnsi="Times New Roman"/>
          <w:sz w:val="28"/>
          <w:szCs w:val="28"/>
        </w:rPr>
        <w:t xml:space="preserve">политики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83"/>
        <w:ind w:left="0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Ханты-Мансийского автономного округа – Югры на 2025 год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83"/>
        <w:ind w:left="0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на плановый период 2026 и 2027 годов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83"/>
        <w:ind w:left="0" w:firstLine="425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направления долговой политики автономного округа сформированы с учетом положений </w:t>
      </w:r>
      <w:hyperlink r:id="rId13" w:tooltip="consultantplus://offline/ref=FDA1421FB7062CAD60DA05C3C2CDDD37043F57CA7739719681D19329E64C7532CE9DE00460F7214F5322835DCCF0323BAC4FE7556FBAD3d2G" w:history="1">
        <w:r>
          <w:rPr>
            <w:rFonts w:ascii="Times New Roman" w:hAnsi="Times New Roman" w:cs="Times New Roman"/>
            <w:sz w:val="28"/>
            <w:szCs w:val="28"/>
          </w:rPr>
          <w:t xml:space="preserve">пункта 13 статьи 107.1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определяют цели, </w:t>
      </w:r>
      <w:r>
        <w:rPr>
          <w:rFonts w:ascii="Times New Roman" w:hAnsi="Times New Roman" w:cs="Times New Roman"/>
          <w:sz w:val="28"/>
          <w:szCs w:val="28"/>
        </w:rPr>
        <w:t xml:space="preserve">задачи, приоритеты и общие направления деятельности по управлению государственным долгом автономного округа в целях привлечения необходимых для развития автономного округа заемных ресурсов при поддержании приемлемых уровней риска и стоимости заимствований.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5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  <w:outlineLvl w:val="2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Итоги реализации долговой политики Ханты-Мансийского автономного округа – Югры в 2023 – 2024 годах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Долговая политика автономного округа предыдущих лет способствовала поддержанию долговой нагрузки автономного округа на низком уровне.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Государственный долг автономного округа по состоянию на 1 января 2024 года увеличился по сравнению с 1 января 2023 года на 3 122,3 млн рублей и составил 10 187,7 млн рублей или 2,7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% от доходов бюджета автономного округа без учета безвозмездных поступлений.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государственного долга автономного округа в 2023 году основную долю составляли бюджетные кредиты из федерального бюджета 93,1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%, доля государственных облигаций автономного округа – 6,9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%.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на обслуживание долговых обязательств автономного округа за 2023 год составили 464,6 млн рублей или 0,1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% от расходов бюджета автономного округа, за исключением объема расходов, которые осуществлялись за счет субвенций, предоставляемых из федерального бюджета.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Погашение и обслуживание долговых обязательств автономного округа в 2023 году выполнены в установленный срок и в полном объеме.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исполнения бюджета автономного округа за 2023 год ограничения по уровню государственного долга и расходов на его обслуживание, установленные Бюджетным кодексом Российской Федерации, соблюдены.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уровню долговой нагрузки среди субъектов Российской Федерации автономный округ улучшил свои позиции с 4 места по итогам 2022 года до 2 места по итогам 2023 года.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2023 году автономным округом привлечены бюджетные кредиты из федерального бюджета со сроком погашения в 2025-2038 годах и процентной ставкой в размере 3 % годовых, из них: бюджетный кредит на финансово</w:t>
      </w:r>
      <w:r>
        <w:rPr>
          <w:rFonts w:ascii="Times New Roman" w:hAnsi="Times New Roman" w:cs="Times New Roman"/>
          <w:sz w:val="28"/>
          <w:szCs w:val="28"/>
        </w:rPr>
        <w:t xml:space="preserve">е обеспечение реализации инфраструктурных проектов автономного округа в сумме 4 473,4 млн рублей, бюджетные кредиты за счет временно свободных средств единого счета федерального бюджета (специальные казначейские кредиты) на общую сумму 1 348,9 млн рублей.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1 января 2025 года государственный долг автономного округа прогнозируется на уровне порядка 6,4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% от доходов бюджета автономного округа без учета безвозмездных поступлений.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2024 году Аналитическое Кредитное Рейтинговое Агентство (АКРА) подтвердило кредитный рейтинг автономного округа наивысшег</w:t>
      </w:r>
      <w:r>
        <w:rPr>
          <w:rFonts w:ascii="Times New Roman" w:hAnsi="Times New Roman" w:cs="Times New Roman"/>
          <w:sz w:val="28"/>
          <w:szCs w:val="28"/>
        </w:rPr>
        <w:t xml:space="preserve">о уровня по национальной шкале «ААА(RU)», прогноз «Стабильный»</w:t>
      </w:r>
      <w:r>
        <w:rPr>
          <w:rFonts w:ascii="Times New Roman" w:hAnsi="Times New Roman" w:cs="Times New Roman"/>
          <w:sz w:val="28"/>
          <w:szCs w:val="28"/>
        </w:rPr>
        <w:t xml:space="preserve">, впервые присвоенный агентством региону в 2017 году. В 2023 году полностью погашен выпуск государственных облигаций автономного округа 2016 года, кредитный рейтинг облигационного выпуска 2017 года соответствует кредитному рейтингу региона.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Наивысший уровень кредитного рейтинга автономного округа обусловлен высокими показателями региональной экономики, низкой </w:t>
      </w:r>
      <w:r>
        <w:rPr>
          <w:rFonts w:ascii="Times New Roman" w:hAnsi="Times New Roman" w:cs="Times New Roman"/>
          <w:sz w:val="28"/>
          <w:szCs w:val="28"/>
        </w:rPr>
        <w:t xml:space="preserve">долговой нагрузкой и сбалансированными показателями основных параметров бюджета.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5"/>
        <w:jc w:val="center"/>
        <w:rPr>
          <w:rFonts w:ascii="Times New Roman" w:hAnsi="Times New Roman" w:cs="Times New Roman"/>
          <w:b w:val="0"/>
          <w:sz w:val="28"/>
          <w:szCs w:val="28"/>
        </w:rPr>
        <w:outlineLvl w:val="2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Основные факторы, определяющие характер и направления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975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долговой политики Ханты-Мансийс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кого автономного округа – Югры 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975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на 2025 – 2027 годы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Долго</w:t>
      </w:r>
      <w:r>
        <w:rPr>
          <w:rFonts w:ascii="Times New Roman" w:hAnsi="Times New Roman" w:cs="Times New Roman"/>
          <w:sz w:val="28"/>
          <w:szCs w:val="28"/>
        </w:rPr>
        <w:t xml:space="preserve">вая политика автономного округа определяется приоритетными направлениями экономического развития автономного округа и Российской Федерации, размером дефицита бюджета автономного округа, а также требованиями бюджетного законодательства Российской Федерации.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обеспечения финансирования дефицита бюджета автономного округа в 2025 году и плановом периоде 2026 и 2027 годах планируется привлечение </w:t>
      </w:r>
      <w:r>
        <w:rPr>
          <w:rFonts w:ascii="Times New Roman" w:hAnsi="Times New Roman" w:cs="Times New Roman"/>
          <w:sz w:val="28"/>
          <w:szCs w:val="28"/>
        </w:rPr>
        <w:t xml:space="preserve">заемных средств. Соответственно</w:t>
      </w:r>
      <w:r>
        <w:rPr>
          <w:rFonts w:ascii="Times New Roman" w:hAnsi="Times New Roman" w:cs="Times New Roman"/>
          <w:sz w:val="28"/>
          <w:szCs w:val="28"/>
        </w:rPr>
        <w:t xml:space="preserve"> приоритеты долговой политики автономного округа будут сохранены и направлены на: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поддержание объема государственного долга автономного округа на уровне, не превышающем 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% от общего годового объема доходов бюджета автономного округа, без учета объема безвозмездных поступлений;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поддержание суммы платежей по погашению и обслуживанию государственного долга автономного округа на уровне, не превышающем 13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% от общего объема налоговых и неналоговых доходов бюджета автономного округа и дотаций из бюджетов бюджетной системы Российской Федерации;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поддержание объема расходов на обслуживание государственного долга автономного округа на уровне, не превышающем 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% от общего объема расходов бюджета автономного округа, за исключением объема расходов, которые осуществляются за счет субвенций, предоставляемых из бюджетов бюджетной системы Российской Федерации;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сохранение финансовой устойчивости бюджета автономного округа;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сохранение репутации автономного округа как надежного заемщика, безупречно и своевременно выполняющего финансовые обязательства (поддержание высокого кредитного рейтинга);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доступности информации о государственном долге автономного округа.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5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  <w:outlineLvl w:val="2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Цель и задачи долговой политики Ханты-Мансийского автономного округа – Югры на 2025 – 2027 годы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Долговая</w:t>
      </w:r>
      <w:r>
        <w:rPr>
          <w:rFonts w:ascii="Times New Roman" w:hAnsi="Times New Roman" w:cs="Times New Roman"/>
          <w:sz w:val="28"/>
          <w:szCs w:val="28"/>
        </w:rPr>
        <w:t xml:space="preserve"> политика автономного округа на 2025-2027 годы нацелена на эффективное и ответственное управление государственным долгом автономного округа, обеспечивающее сбалансированность бюджета автономного округа при сохранении высокой степени долговой устойчивости.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достижения цели необходимо обеспечить: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rPr>
          <w:strike/>
          <w:sz w:val="24"/>
          <w:szCs w:val="24"/>
        </w:rPr>
      </w:pPr>
      <w:r>
        <w:rPr>
          <w:sz w:val="28"/>
          <w:szCs w:val="28"/>
        </w:rPr>
        <w:t xml:space="preserve">эффективность осуществления государственных заимствований; </w:t>
      </w:r>
      <w:r>
        <w:rPr>
          <w:strike/>
          <w:sz w:val="24"/>
          <w:szCs w:val="24"/>
        </w:rPr>
      </w:r>
      <w:r>
        <w:rPr>
          <w:strike/>
          <w:sz w:val="24"/>
          <w:szCs w:val="24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сохранение безопасного уровня государственного долга и исключение рисков неисполнения долговых обязательств;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гибкое реагирование на изменяющиеся условия финансовых рынков и использование наиболее благоприятных форм заимствований;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минимизацию расходов на обслуживание государственного долга автономного округа;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доступность и открытость информации о проводимой заемной политике, долговых обязательствах и кредитном рейтинге автономного округа.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5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  <w:outlineLvl w:val="2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Инструменты реализации долговой политики Ханты-Мансийского автономного округа – Югры в 2025 – 2027 годах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инструментами реализации долговой политики автономного округа являются: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мониторинг конъюнктуры долгового рынка;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мониторинг соответствия параметров государственного долга автономного округа ограничениям, установленным Бюджетным </w:t>
      </w:r>
      <w:hyperlink r:id="rId14" w:tooltip="consultantplus://offline/ref=B29594587EE730D4B96421DAD424AD0ED896B1C8B4BF509A9F0093AE4087EB839DC2F2F9004728C4609FA38EF056Q9N" w:history="1">
        <w:r>
          <w:rPr>
            <w:rFonts w:ascii="Times New Roman" w:hAnsi="Times New Roman" w:cs="Times New Roman"/>
            <w:sz w:val="28"/>
            <w:szCs w:val="28"/>
          </w:rPr>
          <w:t xml:space="preserve"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и долговой политикой автономного округа;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осуществление заимствований и проведение операций с долговыми обязательствами, направленных на оптимизацию структуры государственного долга и сокращение расходов на его обслуживание;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учета долговых обязательств и операций с государственным долгом, исполнение долговых обязательств в соответствии с платежным графиком;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и оценка рисков, возникающих в процессе управления государственным долгом.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источников финансирования дефицита бюджета автономного округа в планируемом периоде будут рассматриваться заимствования в виде: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кредитов кредитных организаций с учетом складыв</w:t>
      </w:r>
      <w:r>
        <w:rPr>
          <w:rFonts w:ascii="Times New Roman" w:hAnsi="Times New Roman" w:cs="Times New Roman"/>
          <w:sz w:val="28"/>
          <w:szCs w:val="28"/>
        </w:rPr>
        <w:t xml:space="preserve">ающейся на рынке конъюнктуры в основном в форме возобновляемых кредитных линий, что позволит при недостаточности бюджетных средств привлекать и погашать кредитные ресурсы в кратчайшие сроки, с целью минимизации процентных платежей по коммерческим кредитам;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государственных ценных бумаг, основным преимуществом которых является возможность гибкого управления государственным долгом в установлении объемов и графиков платежей при среднесрочном планировании;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кредитов, привлекаемы</w:t>
      </w:r>
      <w:r>
        <w:rPr>
          <w:rFonts w:ascii="Times New Roman" w:hAnsi="Times New Roman" w:cs="Times New Roman"/>
          <w:sz w:val="28"/>
          <w:szCs w:val="28"/>
        </w:rPr>
        <w:t xml:space="preserve">х</w:t>
      </w:r>
      <w:r>
        <w:rPr>
          <w:rFonts w:ascii="Times New Roman" w:hAnsi="Times New Roman" w:cs="Times New Roman"/>
          <w:sz w:val="28"/>
          <w:szCs w:val="28"/>
        </w:rPr>
        <w:t xml:space="preserve"> из федерального бюджета на финансовое обеспечение реализации инфраструктурных проектов автономного округа.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Расходные обязательства автономного округа по обслуживанию государственного долга автономного </w:t>
      </w:r>
      <w:r>
        <w:rPr>
          <w:rFonts w:ascii="Times New Roman" w:hAnsi="Times New Roman" w:cs="Times New Roman"/>
          <w:sz w:val="28"/>
          <w:szCs w:val="28"/>
        </w:rPr>
        <w:t xml:space="preserve">округа в 2025-2027 годах будут определяться на основании действующих долговых обязательств, планируемого объема и структуры заимствований, прогнозного уровня доходности государственных облигаций автономного округа и прогнозной стоимости кредитных ресурсов.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5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  <w:outlineLvl w:val="2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Анализ рисков для бюджета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Ханты-Мансийского автономного округа – Югры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возникающих в процессе управления государственным долгом Ханты-Мансийского автономного округа – Югры 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осуществлении долговой политики, привлечении заимствований нео</w:t>
      </w:r>
      <w:r>
        <w:rPr>
          <w:rFonts w:ascii="Times New Roman" w:hAnsi="Times New Roman" w:cs="Times New Roman"/>
          <w:sz w:val="28"/>
          <w:szCs w:val="28"/>
        </w:rPr>
        <w:t xml:space="preserve">бходимо учитывать возможные риски, представляющие собой вероятность возникновения финансовых потерь бюджета автономного округа в результате наступления определенных событий или совершения определенных действий, которые не могут быть заранее предопределены.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основным рискам, которые могут возникнуть при управлении государственным долгом автономного округа, относятся: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процентный риск – вероятность увеличения стоимости заимствований и объема расходов бюджета автономного округа на обслуживание государственного долга вследствие увеличения процентных ставок;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риск ликвидности – сложность исполнения долговых обязательств в полном объеме и в установленный срок ввиду роста задолженности расходных и долговых обязательств автономного округа;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операционный риск – технические сбои информационных и иных систем, некорректное оформление эмиссионной документации, кредитных соглашений, чрезвычайные ситуации, обстоятельства непреодолимой силы.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7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Основной целью управления финансовыми рисками является их минимизация в результате проведения мероприятий, позволяющих прогнозировать наступление рисковых событий и принимать меры по исключению или снижению отрицательных последствий их наступления.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85"/>
        <w:rPr>
          <w:b w:val="0"/>
        </w:rPr>
      </w:pPr>
      <w:r>
        <w:rPr>
          <w:b w:val="0"/>
        </w:rPr>
        <w:br w:type="page" w:clear="all"/>
      </w:r>
      <w:r>
        <w:rPr>
          <w:b w:val="0"/>
        </w:rPr>
        <w:t xml:space="preserve">Приложение 2</w:t>
      </w:r>
      <w:r>
        <w:rPr>
          <w:b w:val="0"/>
        </w:rPr>
      </w:r>
      <w:r>
        <w:rPr>
          <w:b w:val="0"/>
        </w:rPr>
      </w:r>
    </w:p>
    <w:p>
      <w:pPr>
        <w:pStyle w:val="985"/>
        <w:rPr>
          <w:b w:val="0"/>
        </w:rPr>
      </w:pPr>
      <w:r>
        <w:rPr>
          <w:b w:val="0"/>
        </w:rPr>
        <w:t xml:space="preserve">к распоряжению Правительства</w:t>
      </w:r>
      <w:r>
        <w:rPr>
          <w:b w:val="0"/>
        </w:rPr>
      </w:r>
      <w:r>
        <w:rPr>
          <w:b w:val="0"/>
        </w:rPr>
      </w:r>
    </w:p>
    <w:p>
      <w:pPr>
        <w:pStyle w:val="985"/>
        <w:rPr>
          <w:b w:val="0"/>
        </w:rPr>
      </w:pPr>
      <w:r>
        <w:rPr>
          <w:b w:val="0"/>
        </w:rPr>
        <w:t xml:space="preserve">Ханты-Мансийского </w:t>
      </w:r>
      <w:r>
        <w:rPr>
          <w:b w:val="0"/>
        </w:rPr>
      </w:r>
      <w:r>
        <w:rPr>
          <w:b w:val="0"/>
        </w:rPr>
      </w:r>
    </w:p>
    <w:p>
      <w:pPr>
        <w:pStyle w:val="985"/>
        <w:rPr>
          <w:b w:val="0"/>
        </w:rPr>
      </w:pPr>
      <w:r>
        <w:rPr>
          <w:b w:val="0"/>
        </w:rPr>
        <w:t xml:space="preserve">автономного округа – Югры</w:t>
      </w:r>
      <w:r>
        <w:rPr>
          <w:b w:val="0"/>
        </w:rPr>
      </w:r>
      <w:r>
        <w:rPr>
          <w:b w:val="0"/>
        </w:rPr>
      </w:r>
    </w:p>
    <w:p>
      <w:pPr>
        <w:pStyle w:val="985"/>
        <w:rPr>
          <w:b w:val="0"/>
        </w:rPr>
      </w:pPr>
      <w:r>
        <w:rPr>
          <w:b w:val="0"/>
        </w:rPr>
        <w:t xml:space="preserve">от</w:t>
      </w:r>
      <w:r>
        <w:rPr>
          <w:b w:val="0"/>
        </w:rPr>
        <w:t xml:space="preserve"> 10 октября</w:t>
      </w:r>
      <w:r>
        <w:rPr>
          <w:b w:val="0"/>
        </w:rPr>
        <w:t xml:space="preserve"> 2024 года </w:t>
      </w:r>
      <w:r>
        <w:rPr>
          <w:b w:val="0"/>
        </w:rPr>
        <w:t xml:space="preserve">№ 496-рп</w:t>
      </w:r>
      <w:r>
        <w:rPr>
          <w:b w:val="0"/>
        </w:rPr>
      </w:r>
      <w:r>
        <w:rPr>
          <w:b w:val="0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Характеристики бюджета Ханты-Мансийского автономного 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округа – Югры на 202</w:t>
      </w:r>
      <w:r>
        <w:rPr>
          <w:bCs/>
          <w:sz w:val="28"/>
          <w:szCs w:val="28"/>
        </w:rPr>
        <w:t xml:space="preserve">5</w:t>
      </w:r>
      <w:r>
        <w:rPr>
          <w:bCs/>
          <w:sz w:val="28"/>
          <w:szCs w:val="28"/>
        </w:rPr>
        <w:t xml:space="preserve"> год и на плановый период 202</w:t>
      </w:r>
      <w:r>
        <w:rPr>
          <w:bCs/>
          <w:sz w:val="28"/>
          <w:szCs w:val="28"/>
        </w:rPr>
        <w:t xml:space="preserve">6</w:t>
      </w:r>
      <w:r>
        <w:rPr>
          <w:bCs/>
          <w:sz w:val="28"/>
          <w:szCs w:val="28"/>
        </w:rPr>
        <w:t xml:space="preserve"> и 202</w:t>
      </w:r>
      <w:r>
        <w:rPr>
          <w:bCs/>
          <w:sz w:val="28"/>
          <w:szCs w:val="28"/>
        </w:rPr>
        <w:t xml:space="preserve">7</w:t>
      </w:r>
      <w:r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тыс. рублей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1010"/>
        <w:tblW w:w="9322" w:type="dxa"/>
        <w:tblLook w:val="00A0" w:firstRow="1" w:lastRow="0" w:firstColumn="1" w:lastColumn="0" w:noHBand="0" w:noVBand="0"/>
      </w:tblPr>
      <w:tblGrid>
        <w:gridCol w:w="2943"/>
        <w:gridCol w:w="2127"/>
        <w:gridCol w:w="2126"/>
        <w:gridCol w:w="2126"/>
      </w:tblGrid>
      <w:tr>
        <w:tblPrEx/>
        <w:trPr/>
        <w:tc>
          <w:tcPr>
            <w:tcW w:w="294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</w:t>
            </w:r>
            <w:r>
              <w:rPr>
                <w:sz w:val="24"/>
                <w:szCs w:val="24"/>
              </w:rPr>
              <w:t xml:space="preserve">*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</w:t>
            </w: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</w:t>
            </w: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</w:t>
            </w:r>
            <w:r>
              <w:rPr>
                <w:sz w:val="28"/>
                <w:szCs w:val="28"/>
              </w:rPr>
              <w:t xml:space="preserve">7</w:t>
            </w:r>
            <w:r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294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  <w:t xml:space="preserve">9</w:t>
            </w:r>
            <w:r>
              <w:rPr>
                <w:sz w:val="28"/>
                <w:szCs w:val="28"/>
              </w:rPr>
              <w:t xml:space="preserve">9</w:t>
            </w:r>
            <w:r>
              <w:rPr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  <w:t xml:space="preserve">974</w:t>
            </w:r>
            <w:r>
              <w:rPr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  <w:t xml:space="preserve">532</w:t>
            </w:r>
            <w:r>
              <w:rPr>
                <w:sz w:val="28"/>
                <w:szCs w:val="28"/>
              </w:rPr>
              <w:t xml:space="preserve">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41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  <w:t xml:space="preserve">372</w:t>
            </w:r>
            <w:r>
              <w:rPr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  <w:t xml:space="preserve">61</w:t>
            </w:r>
            <w:r>
              <w:rPr>
                <w:sz w:val="28"/>
                <w:szCs w:val="28"/>
              </w:rPr>
              <w:t xml:space="preserve">8</w:t>
            </w:r>
            <w:r>
              <w:rPr>
                <w:sz w:val="28"/>
                <w:szCs w:val="28"/>
              </w:rPr>
              <w:t xml:space="preserve">,</w:t>
            </w: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  <w:t xml:space="preserve">7</w:t>
            </w:r>
            <w:r>
              <w:rPr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  <w:t xml:space="preserve">838</w:t>
            </w:r>
            <w:r>
              <w:rPr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  <w:t xml:space="preserve">377</w:t>
            </w:r>
            <w:r>
              <w:rPr>
                <w:sz w:val="28"/>
                <w:szCs w:val="28"/>
              </w:rPr>
              <w:t xml:space="preserve">,</w:t>
            </w: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294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455 0</w:t>
            </w:r>
            <w:r>
              <w:rPr>
                <w:sz w:val="28"/>
                <w:szCs w:val="28"/>
              </w:rPr>
              <w:t xml:space="preserve">14</w:t>
            </w:r>
            <w:r>
              <w:rPr>
                <w:sz w:val="28"/>
                <w:szCs w:val="28"/>
              </w:rPr>
              <w:t xml:space="preserve"> 204,2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450 </w:t>
            </w:r>
            <w:r>
              <w:rPr>
                <w:sz w:val="28"/>
                <w:szCs w:val="28"/>
              </w:rPr>
              <w:t xml:space="preserve">293</w:t>
            </w:r>
            <w:r>
              <w:rPr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  <w:t xml:space="preserve">546</w:t>
            </w:r>
            <w:r>
              <w:rPr>
                <w:sz w:val="28"/>
                <w:szCs w:val="28"/>
              </w:rPr>
              <w:t xml:space="preserve">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449 </w:t>
            </w:r>
            <w:r>
              <w:rPr>
                <w:sz w:val="28"/>
                <w:szCs w:val="28"/>
              </w:rPr>
              <w:t xml:space="preserve">044</w:t>
            </w:r>
            <w:r>
              <w:rPr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  <w:t xml:space="preserve">716</w:t>
            </w:r>
            <w:r>
              <w:rPr>
                <w:sz w:val="28"/>
                <w:szCs w:val="28"/>
              </w:rPr>
              <w:t xml:space="preserve">,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294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Дефицит (-),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Профицит (+)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-55 0</w:t>
            </w:r>
            <w:r>
              <w:rPr>
                <w:sz w:val="28"/>
                <w:szCs w:val="28"/>
              </w:rPr>
              <w:t xml:space="preserve">39</w:t>
            </w:r>
            <w:r>
              <w:rPr>
                <w:sz w:val="28"/>
                <w:szCs w:val="28"/>
              </w:rPr>
              <w:t xml:space="preserve"> 672,0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-3</w:t>
            </w:r>
            <w:r>
              <w:rPr>
                <w:sz w:val="28"/>
                <w:szCs w:val="28"/>
              </w:rPr>
              <w:t xml:space="preserve">7</w:t>
            </w:r>
            <w:r>
              <w:rPr>
                <w:sz w:val="28"/>
                <w:szCs w:val="28"/>
              </w:rPr>
              <w:t xml:space="preserve"> 9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  <w:t xml:space="preserve">928</w:t>
            </w:r>
            <w:r>
              <w:rPr>
                <w:sz w:val="28"/>
                <w:szCs w:val="28"/>
              </w:rPr>
              <w:t xml:space="preserve">,0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-31 </w:t>
            </w:r>
            <w:r>
              <w:rPr>
                <w:sz w:val="28"/>
                <w:szCs w:val="28"/>
              </w:rPr>
              <w:t xml:space="preserve">206 338,6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ind w:firstLine="709"/>
        <w:jc w:val="both"/>
        <w:rPr>
          <w:sz w:val="28"/>
          <w:szCs w:val="28"/>
        </w:rPr>
      </w:pPr>
      <w:r>
        <w:rPr>
          <w:sz w:val="24"/>
        </w:rPr>
        <w:t xml:space="preserve">* Без учета безвозмездных поступлений из федерального бюджета и замены дотации на выравнивание бюджетной обеспеченности дополнительными нормативами отчислений от налога на доходы физических лиц.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footerReference w:type="even" r:id="rId11"/>
      <w:footnotePr/>
      <w:endnotePr/>
      <w:type w:val="nextPage"/>
      <w:pgSz w:w="11909" w:h="16838" w:orient="portrait"/>
      <w:pgMar w:top="1418" w:right="1276" w:bottom="1134" w:left="1559" w:header="567" w:footer="567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">
    <w:panose1 w:val="02020603050405020304"/>
  </w:font>
  <w:font w:name="Symbol">
    <w:panose1 w:val="05050102010706020507"/>
  </w:font>
  <w:font w:name="Wingdings">
    <w:panose1 w:val="05000000000000000000"/>
  </w:font>
  <w:font w:name="Verdana">
    <w:panose1 w:val="020B0604030504040204"/>
  </w:font>
  <w:font w:name="Calibri">
    <w:panose1 w:val="020F0502020204030204"/>
  </w:font>
  <w:font w:name="Zhikaryov">
    <w:panose1 w:val="02000000000000000000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Courier New">
    <w:panose1 w:val="02070309020205020404"/>
  </w:font>
  <w:font w:name="Times New Roman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3"/>
      <w:rPr>
        <w:sz w:val="16"/>
        <w:szCs w:val="16"/>
      </w:rPr>
    </w:pPr>
    <w:r>
      <w:rPr>
        <w:sz w:val="16"/>
        <w:szCs w:val="16"/>
      </w:rPr>
      <w:t xml:space="preserve">нв</w:t>
    </w:r>
    <w:r>
      <w:rPr>
        <w:sz w:val="16"/>
        <w:szCs w:val="16"/>
      </w:rPr>
    </w:r>
    <w:r>
      <w:rPr>
        <w:sz w:val="16"/>
        <w:szCs w:val="16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212994274"/>
      <w:docPartObj>
        <w:docPartGallery w:val="Page Numbers (Top of Page)"/>
        <w:docPartUnique w:val="true"/>
      </w:docPartObj>
      <w:rPr/>
    </w:sdtPr>
    <w:sdtContent>
      <w:p>
        <w:pPr>
          <w:pStyle w:val="97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25</w:t>
        </w:r>
        <w:r>
          <w:fldChar w:fldCharType="end"/>
        </w:r>
        <w:r/>
      </w:p>
    </w:sdtContent>
  </w:sdt>
  <w:p>
    <w:pPr>
      <w:pStyle w:val="97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428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63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795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5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7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9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1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3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5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7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95" w:hanging="180"/>
      </w:p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4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153" w:hanging="720"/>
      </w:pPr>
      <w:rPr>
        <w:rFonts w:hint="default"/>
      </w:rPr>
    </w:lvl>
    <w:lvl w:ilvl="1">
      <w:start w:val="3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705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341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617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253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889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165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801" w:hanging="21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suff w:val="tab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isLgl w:val="false"/>
      <w:suff w:val="tab"/>
      <w:lvlText w:val="%1.%2."/>
      <w:lvlJc w:val="left"/>
      <w:pPr>
        <w:ind w:left="2858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99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494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963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213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62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6766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9264" w:hanging="2160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429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4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7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153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51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3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5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7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9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1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3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53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31"/>
  </w:num>
  <w:num w:numId="2">
    <w:abstractNumId w:val="7"/>
  </w:num>
  <w:num w:numId="3">
    <w:abstractNumId w:val="12"/>
  </w:num>
  <w:num w:numId="4">
    <w:abstractNumId w:val="22"/>
  </w:num>
  <w:num w:numId="5">
    <w:abstractNumId w:val="24"/>
  </w:num>
  <w:num w:numId="6">
    <w:abstractNumId w:val="23"/>
  </w:num>
  <w:num w:numId="7">
    <w:abstractNumId w:val="25"/>
  </w:num>
  <w:num w:numId="8">
    <w:abstractNumId w:val="26"/>
  </w:num>
  <w:num w:numId="9">
    <w:abstractNumId w:val="20"/>
  </w:num>
  <w:num w:numId="10">
    <w:abstractNumId w:val="29"/>
  </w:num>
  <w:num w:numId="11">
    <w:abstractNumId w:val="21"/>
  </w:num>
  <w:num w:numId="12">
    <w:abstractNumId w:val="10"/>
  </w:num>
  <w:num w:numId="13">
    <w:abstractNumId w:val="3"/>
  </w:num>
  <w:num w:numId="14">
    <w:abstractNumId w:val="16"/>
  </w:num>
  <w:num w:numId="15">
    <w:abstractNumId w:val="9"/>
  </w:num>
  <w:num w:numId="16">
    <w:abstractNumId w:val="2"/>
  </w:num>
  <w:num w:numId="17">
    <w:abstractNumId w:val="4"/>
  </w:num>
  <w:num w:numId="18">
    <w:abstractNumId w:val="27"/>
  </w:num>
  <w:num w:numId="19">
    <w:abstractNumId w:val="14"/>
  </w:num>
  <w:num w:numId="20">
    <w:abstractNumId w:val="11"/>
  </w:num>
  <w:num w:numId="21">
    <w:abstractNumId w:val="17"/>
  </w:num>
  <w:num w:numId="22">
    <w:abstractNumId w:val="18"/>
  </w:num>
  <w:num w:numId="23">
    <w:abstractNumId w:val="0"/>
  </w:num>
  <w:num w:numId="24">
    <w:abstractNumId w:val="13"/>
  </w:num>
  <w:num w:numId="25">
    <w:abstractNumId w:val="15"/>
  </w:num>
  <w:num w:numId="26">
    <w:abstractNumId w:val="28"/>
  </w:num>
  <w:num w:numId="27">
    <w:abstractNumId w:val="19"/>
  </w:num>
  <w:num w:numId="28">
    <w:abstractNumId w:val="5"/>
  </w:num>
  <w:num w:numId="29">
    <w:abstractNumId w:val="8"/>
  </w:num>
  <w:num w:numId="30">
    <w:abstractNumId w:val="30"/>
  </w:num>
  <w:num w:numId="31">
    <w:abstractNumId w:val="1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ourier New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68">
    <w:name w:val="Heading 4 Char"/>
    <w:basedOn w:val="807"/>
    <w:link w:val="801"/>
    <w:uiPriority w:val="9"/>
    <w:rPr>
      <w:rFonts w:ascii="Arial" w:hAnsi="Arial" w:eastAsia="Arial" w:cs="Arial"/>
      <w:b/>
      <w:bCs/>
      <w:sz w:val="26"/>
      <w:szCs w:val="26"/>
    </w:rPr>
  </w:style>
  <w:style w:type="character" w:styleId="769">
    <w:name w:val="Heading 5 Char"/>
    <w:basedOn w:val="807"/>
    <w:link w:val="802"/>
    <w:uiPriority w:val="9"/>
    <w:rPr>
      <w:rFonts w:ascii="Arial" w:hAnsi="Arial" w:eastAsia="Arial" w:cs="Arial"/>
      <w:b/>
      <w:bCs/>
      <w:sz w:val="24"/>
      <w:szCs w:val="24"/>
    </w:rPr>
  </w:style>
  <w:style w:type="character" w:styleId="770">
    <w:name w:val="Heading 6 Char"/>
    <w:basedOn w:val="807"/>
    <w:link w:val="803"/>
    <w:uiPriority w:val="9"/>
    <w:rPr>
      <w:rFonts w:ascii="Arial" w:hAnsi="Arial" w:eastAsia="Arial" w:cs="Arial"/>
      <w:b/>
      <w:bCs/>
      <w:sz w:val="22"/>
      <w:szCs w:val="22"/>
    </w:rPr>
  </w:style>
  <w:style w:type="character" w:styleId="771">
    <w:name w:val="Heading 7 Char"/>
    <w:basedOn w:val="807"/>
    <w:link w:val="8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72">
    <w:name w:val="Heading 8 Char"/>
    <w:basedOn w:val="807"/>
    <w:link w:val="805"/>
    <w:uiPriority w:val="9"/>
    <w:rPr>
      <w:rFonts w:ascii="Arial" w:hAnsi="Arial" w:eastAsia="Arial" w:cs="Arial"/>
      <w:i/>
      <w:iCs/>
      <w:sz w:val="22"/>
      <w:szCs w:val="22"/>
    </w:rPr>
  </w:style>
  <w:style w:type="character" w:styleId="773">
    <w:name w:val="Heading 9 Char"/>
    <w:basedOn w:val="807"/>
    <w:link w:val="806"/>
    <w:uiPriority w:val="9"/>
    <w:rPr>
      <w:rFonts w:ascii="Arial" w:hAnsi="Arial" w:eastAsia="Arial" w:cs="Arial"/>
      <w:i/>
      <w:iCs/>
      <w:sz w:val="21"/>
      <w:szCs w:val="21"/>
    </w:rPr>
  </w:style>
  <w:style w:type="character" w:styleId="774">
    <w:name w:val="Subtitle Char"/>
    <w:basedOn w:val="807"/>
    <w:link w:val="820"/>
    <w:uiPriority w:val="11"/>
    <w:rPr>
      <w:sz w:val="24"/>
      <w:szCs w:val="24"/>
    </w:rPr>
  </w:style>
  <w:style w:type="character" w:styleId="775">
    <w:name w:val="Quote Char"/>
    <w:link w:val="822"/>
    <w:uiPriority w:val="29"/>
    <w:rPr>
      <w:i/>
    </w:rPr>
  </w:style>
  <w:style w:type="character" w:styleId="776">
    <w:name w:val="Intense Quote Char"/>
    <w:link w:val="824"/>
    <w:uiPriority w:val="30"/>
    <w:rPr>
      <w:i/>
    </w:rPr>
  </w:style>
  <w:style w:type="table" w:styleId="777">
    <w:name w:val="Plain Table 1"/>
    <w:basedOn w:val="80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8">
    <w:name w:val="Plain Table 2"/>
    <w:basedOn w:val="80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9">
    <w:name w:val="Plain Table 3"/>
    <w:basedOn w:val="8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0">
    <w:name w:val="Plain Table 4"/>
    <w:basedOn w:val="8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Plain Table 5"/>
    <w:basedOn w:val="8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2">
    <w:name w:val="Grid Table 1 Light"/>
    <w:basedOn w:val="8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2"/>
    <w:basedOn w:val="8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"/>
    <w:basedOn w:val="8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4"/>
    <w:basedOn w:val="8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6">
    <w:name w:val="Grid Table 5 Dark"/>
    <w:basedOn w:val="8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7">
    <w:name w:val="Grid Table 6 Colorful"/>
    <w:basedOn w:val="8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8">
    <w:name w:val="Grid Table 7 Colorful"/>
    <w:basedOn w:val="8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"/>
    <w:basedOn w:val="8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2"/>
    <w:basedOn w:val="8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1">
    <w:name w:val="List Table 3"/>
    <w:basedOn w:val="8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"/>
    <w:basedOn w:val="8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5 Dark"/>
    <w:basedOn w:val="8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6 Colorful"/>
    <w:basedOn w:val="8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5">
    <w:name w:val="List Table 7 Colorful"/>
    <w:basedOn w:val="8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796">
    <w:name w:val="Endnote Text Char"/>
    <w:link w:val="957"/>
    <w:uiPriority w:val="99"/>
    <w:rPr>
      <w:sz w:val="20"/>
    </w:rPr>
  </w:style>
  <w:style w:type="paragraph" w:styleId="797" w:default="1">
    <w:name w:val="Normal"/>
    <w:qFormat/>
    <w:rPr>
      <w:rFonts w:eastAsia="Times New Roman"/>
    </w:rPr>
  </w:style>
  <w:style w:type="paragraph" w:styleId="798">
    <w:name w:val="Heading 1"/>
    <w:basedOn w:val="797"/>
    <w:next w:val="797"/>
    <w:link w:val="978"/>
    <w:uiPriority w:val="9"/>
    <w:qFormat/>
    <w:pPr>
      <w:keepNext/>
      <w:outlineLvl w:val="0"/>
    </w:pPr>
    <w:rPr>
      <w:rFonts w:ascii="Cambria" w:hAnsi="Cambria"/>
      <w:b/>
      <w:bCs/>
      <w:sz w:val="32"/>
      <w:szCs w:val="32"/>
    </w:rPr>
  </w:style>
  <w:style w:type="paragraph" w:styleId="799">
    <w:name w:val="Heading 2"/>
    <w:basedOn w:val="797"/>
    <w:next w:val="797"/>
    <w:link w:val="97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00">
    <w:name w:val="Heading 3"/>
    <w:basedOn w:val="797"/>
    <w:next w:val="797"/>
    <w:link w:val="980"/>
    <w:uiPriority w:val="9"/>
    <w:qFormat/>
    <w:pPr>
      <w:jc w:val="center"/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801">
    <w:name w:val="Heading 4"/>
    <w:basedOn w:val="797"/>
    <w:next w:val="797"/>
    <w:link w:val="81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02">
    <w:name w:val="Heading 5"/>
    <w:basedOn w:val="797"/>
    <w:next w:val="797"/>
    <w:link w:val="81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03">
    <w:name w:val="Heading 6"/>
    <w:basedOn w:val="797"/>
    <w:next w:val="797"/>
    <w:link w:val="81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04">
    <w:name w:val="Heading 7"/>
    <w:basedOn w:val="797"/>
    <w:next w:val="797"/>
    <w:link w:val="81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05">
    <w:name w:val="Heading 8"/>
    <w:basedOn w:val="797"/>
    <w:next w:val="797"/>
    <w:link w:val="81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06">
    <w:name w:val="Heading 9"/>
    <w:basedOn w:val="797"/>
    <w:next w:val="797"/>
    <w:link w:val="81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7" w:default="1">
    <w:name w:val="Default Paragraph Font"/>
    <w:uiPriority w:val="1"/>
    <w:semiHidden/>
    <w:unhideWhenUsed/>
  </w:style>
  <w:style w:type="table" w:styleId="80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09" w:default="1">
    <w:name w:val="No List"/>
    <w:uiPriority w:val="99"/>
    <w:semiHidden/>
    <w:unhideWhenUsed/>
  </w:style>
  <w:style w:type="character" w:styleId="810" w:customStyle="1">
    <w:name w:val="Heading 1 Char"/>
    <w:basedOn w:val="807"/>
    <w:uiPriority w:val="9"/>
    <w:rPr>
      <w:rFonts w:ascii="Arial" w:hAnsi="Arial" w:eastAsia="Arial" w:cs="Arial"/>
      <w:sz w:val="40"/>
      <w:szCs w:val="40"/>
    </w:rPr>
  </w:style>
  <w:style w:type="character" w:styleId="811" w:customStyle="1">
    <w:name w:val="Heading 2 Char"/>
    <w:basedOn w:val="807"/>
    <w:uiPriority w:val="9"/>
    <w:rPr>
      <w:rFonts w:ascii="Arial" w:hAnsi="Arial" w:eastAsia="Arial" w:cs="Arial"/>
      <w:sz w:val="34"/>
    </w:rPr>
  </w:style>
  <w:style w:type="character" w:styleId="812" w:customStyle="1">
    <w:name w:val="Heading 3 Char"/>
    <w:basedOn w:val="807"/>
    <w:uiPriority w:val="9"/>
    <w:rPr>
      <w:rFonts w:ascii="Arial" w:hAnsi="Arial" w:eastAsia="Arial" w:cs="Arial"/>
      <w:sz w:val="30"/>
      <w:szCs w:val="30"/>
    </w:rPr>
  </w:style>
  <w:style w:type="character" w:styleId="813" w:customStyle="1">
    <w:name w:val="Заголовок 4 Знак"/>
    <w:basedOn w:val="807"/>
    <w:link w:val="801"/>
    <w:uiPriority w:val="9"/>
    <w:rPr>
      <w:rFonts w:ascii="Arial" w:hAnsi="Arial" w:eastAsia="Arial" w:cs="Arial"/>
      <w:b/>
      <w:bCs/>
      <w:sz w:val="26"/>
      <w:szCs w:val="26"/>
    </w:rPr>
  </w:style>
  <w:style w:type="character" w:styleId="814" w:customStyle="1">
    <w:name w:val="Заголовок 5 Знак"/>
    <w:basedOn w:val="807"/>
    <w:link w:val="802"/>
    <w:uiPriority w:val="9"/>
    <w:rPr>
      <w:rFonts w:ascii="Arial" w:hAnsi="Arial" w:eastAsia="Arial" w:cs="Arial"/>
      <w:b/>
      <w:bCs/>
      <w:sz w:val="24"/>
      <w:szCs w:val="24"/>
    </w:rPr>
  </w:style>
  <w:style w:type="character" w:styleId="815" w:customStyle="1">
    <w:name w:val="Заголовок 6 Знак"/>
    <w:basedOn w:val="807"/>
    <w:link w:val="803"/>
    <w:uiPriority w:val="9"/>
    <w:rPr>
      <w:rFonts w:ascii="Arial" w:hAnsi="Arial" w:eastAsia="Arial" w:cs="Arial"/>
      <w:b/>
      <w:bCs/>
      <w:sz w:val="22"/>
      <w:szCs w:val="22"/>
    </w:rPr>
  </w:style>
  <w:style w:type="character" w:styleId="816" w:customStyle="1">
    <w:name w:val="Заголовок 7 Знак"/>
    <w:basedOn w:val="807"/>
    <w:link w:val="8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17" w:customStyle="1">
    <w:name w:val="Заголовок 8 Знак"/>
    <w:basedOn w:val="807"/>
    <w:link w:val="805"/>
    <w:uiPriority w:val="9"/>
    <w:rPr>
      <w:rFonts w:ascii="Arial" w:hAnsi="Arial" w:eastAsia="Arial" w:cs="Arial"/>
      <w:i/>
      <w:iCs/>
      <w:sz w:val="22"/>
      <w:szCs w:val="22"/>
    </w:rPr>
  </w:style>
  <w:style w:type="character" w:styleId="818" w:customStyle="1">
    <w:name w:val="Заголовок 9 Знак"/>
    <w:basedOn w:val="807"/>
    <w:link w:val="806"/>
    <w:uiPriority w:val="9"/>
    <w:rPr>
      <w:rFonts w:ascii="Arial" w:hAnsi="Arial" w:eastAsia="Arial" w:cs="Arial"/>
      <w:i/>
      <w:iCs/>
      <w:sz w:val="21"/>
      <w:szCs w:val="21"/>
    </w:rPr>
  </w:style>
  <w:style w:type="character" w:styleId="819" w:customStyle="1">
    <w:name w:val="Title Char"/>
    <w:basedOn w:val="807"/>
    <w:uiPriority w:val="10"/>
    <w:rPr>
      <w:sz w:val="48"/>
      <w:szCs w:val="48"/>
    </w:rPr>
  </w:style>
  <w:style w:type="paragraph" w:styleId="820">
    <w:name w:val="Subtitle"/>
    <w:basedOn w:val="797"/>
    <w:next w:val="797"/>
    <w:link w:val="821"/>
    <w:uiPriority w:val="11"/>
    <w:qFormat/>
    <w:pPr>
      <w:spacing w:before="200" w:after="200"/>
    </w:pPr>
    <w:rPr>
      <w:sz w:val="24"/>
      <w:szCs w:val="24"/>
    </w:rPr>
  </w:style>
  <w:style w:type="character" w:styleId="821" w:customStyle="1">
    <w:name w:val="Подзаголовок Знак"/>
    <w:basedOn w:val="807"/>
    <w:link w:val="820"/>
    <w:uiPriority w:val="11"/>
    <w:rPr>
      <w:sz w:val="24"/>
      <w:szCs w:val="24"/>
    </w:rPr>
  </w:style>
  <w:style w:type="paragraph" w:styleId="822">
    <w:name w:val="Quote"/>
    <w:basedOn w:val="797"/>
    <w:next w:val="797"/>
    <w:link w:val="823"/>
    <w:uiPriority w:val="29"/>
    <w:qFormat/>
    <w:pPr>
      <w:ind w:left="720" w:right="720"/>
    </w:pPr>
    <w:rPr>
      <w:i/>
    </w:rPr>
  </w:style>
  <w:style w:type="character" w:styleId="823" w:customStyle="1">
    <w:name w:val="Цитата 2 Знак"/>
    <w:link w:val="822"/>
    <w:uiPriority w:val="29"/>
    <w:rPr>
      <w:i/>
    </w:rPr>
  </w:style>
  <w:style w:type="paragraph" w:styleId="824">
    <w:name w:val="Intense Quote"/>
    <w:basedOn w:val="797"/>
    <w:next w:val="797"/>
    <w:link w:val="82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25" w:customStyle="1">
    <w:name w:val="Выделенная цитата Знак"/>
    <w:link w:val="824"/>
    <w:uiPriority w:val="30"/>
    <w:rPr>
      <w:i/>
    </w:rPr>
  </w:style>
  <w:style w:type="character" w:styleId="826" w:customStyle="1">
    <w:name w:val="Header Char"/>
    <w:basedOn w:val="807"/>
    <w:uiPriority w:val="99"/>
  </w:style>
  <w:style w:type="character" w:styleId="827" w:customStyle="1">
    <w:name w:val="Footer Char"/>
    <w:basedOn w:val="807"/>
    <w:uiPriority w:val="99"/>
  </w:style>
  <w:style w:type="paragraph" w:styleId="828">
    <w:name w:val="Caption"/>
    <w:basedOn w:val="797"/>
    <w:next w:val="797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829" w:customStyle="1">
    <w:name w:val="Caption Char"/>
    <w:uiPriority w:val="99"/>
  </w:style>
  <w:style w:type="table" w:styleId="830" w:customStyle="1">
    <w:name w:val="Table Grid Light"/>
    <w:basedOn w:val="808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31" w:customStyle="1">
    <w:name w:val="Таблица простая 11"/>
    <w:basedOn w:val="808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2" w:customStyle="1">
    <w:name w:val="Таблица простая 21"/>
    <w:basedOn w:val="808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3" w:customStyle="1">
    <w:name w:val="Таблица простая 31"/>
    <w:basedOn w:val="80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34" w:customStyle="1">
    <w:name w:val="Таблица простая 41"/>
    <w:basedOn w:val="80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Таблица простая 51"/>
    <w:basedOn w:val="80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36" w:customStyle="1">
    <w:name w:val="Таблица-сетка 1 светлая1"/>
    <w:basedOn w:val="808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Grid Table 1 Light - Accent 1"/>
    <w:basedOn w:val="808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Grid Table 1 Light - Accent 2"/>
    <w:basedOn w:val="808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Grid Table 1 Light - Accent 3"/>
    <w:basedOn w:val="808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Grid Table 1 Light - Accent 4"/>
    <w:basedOn w:val="808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Grid Table 1 Light - Accent 5"/>
    <w:basedOn w:val="808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Grid Table 1 Light - Accent 6"/>
    <w:basedOn w:val="808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Таблица-сетка 21"/>
    <w:basedOn w:val="808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Grid Table 2 - Accent 1"/>
    <w:basedOn w:val="808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Grid Table 2 - Accent 2"/>
    <w:basedOn w:val="808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Grid Table 2 - Accent 3"/>
    <w:basedOn w:val="808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Grid Table 2 - Accent 4"/>
    <w:basedOn w:val="808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Grid Table 2 - Accent 5"/>
    <w:basedOn w:val="808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Grid Table 2 - Accent 6"/>
    <w:basedOn w:val="808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Таблица-сетка 31"/>
    <w:basedOn w:val="808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Grid Table 3 - Accent 1"/>
    <w:basedOn w:val="808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Grid Table 3 - Accent 2"/>
    <w:basedOn w:val="808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Grid Table 3 - Accent 3"/>
    <w:basedOn w:val="808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Grid Table 3 - Accent 4"/>
    <w:basedOn w:val="808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Grid Table 3 - Accent 5"/>
    <w:basedOn w:val="808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3 - Accent 6"/>
    <w:basedOn w:val="808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Таблица-сетка 41"/>
    <w:basedOn w:val="808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8" w:customStyle="1">
    <w:name w:val="Grid Table 4 - Accent 1"/>
    <w:basedOn w:val="808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859" w:customStyle="1">
    <w:name w:val="Grid Table 4 - Accent 2"/>
    <w:basedOn w:val="808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60" w:customStyle="1">
    <w:name w:val="Grid Table 4 - Accent 3"/>
    <w:basedOn w:val="808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61" w:customStyle="1">
    <w:name w:val="Grid Table 4 - Accent 4"/>
    <w:basedOn w:val="808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62" w:customStyle="1">
    <w:name w:val="Grid Table 4 - Accent 5"/>
    <w:basedOn w:val="808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63" w:customStyle="1">
    <w:name w:val="Grid Table 4 - Accent 6"/>
    <w:basedOn w:val="808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64" w:customStyle="1">
    <w:name w:val="Таблица-сетка 5 темная1"/>
    <w:basedOn w:val="80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65" w:customStyle="1">
    <w:name w:val="Grid Table 5 Dark- Accent 1"/>
    <w:basedOn w:val="80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66" w:customStyle="1">
    <w:name w:val="Grid Table 5 Dark - Accent 2"/>
    <w:basedOn w:val="80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67" w:customStyle="1">
    <w:name w:val="Grid Table 5 Dark - Accent 3"/>
    <w:basedOn w:val="80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68" w:customStyle="1">
    <w:name w:val="Grid Table 5 Dark- Accent 4"/>
    <w:basedOn w:val="80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69" w:customStyle="1">
    <w:name w:val="Grid Table 5 Dark - Accent 5"/>
    <w:basedOn w:val="80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70" w:customStyle="1">
    <w:name w:val="Grid Table 5 Dark - Accent 6"/>
    <w:basedOn w:val="80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71" w:customStyle="1">
    <w:name w:val="Таблица-сетка 6 цветная1"/>
    <w:basedOn w:val="808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72" w:customStyle="1">
    <w:name w:val="Grid Table 6 Colorful - Accent 1"/>
    <w:basedOn w:val="808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73" w:customStyle="1">
    <w:name w:val="Grid Table 6 Colorful - Accent 2"/>
    <w:basedOn w:val="808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74" w:customStyle="1">
    <w:name w:val="Grid Table 6 Colorful - Accent 3"/>
    <w:basedOn w:val="808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75" w:customStyle="1">
    <w:name w:val="Grid Table 6 Colorful - Accent 4"/>
    <w:basedOn w:val="808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76" w:customStyle="1">
    <w:name w:val="Grid Table 6 Colorful - Accent 5"/>
    <w:basedOn w:val="808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77" w:customStyle="1">
    <w:name w:val="Grid Table 6 Colorful - Accent 6"/>
    <w:basedOn w:val="808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78" w:customStyle="1">
    <w:name w:val="Таблица-сетка 7 цветная1"/>
    <w:basedOn w:val="808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9" w:customStyle="1">
    <w:name w:val="Grid Table 7 Colorful - Accent 1"/>
    <w:basedOn w:val="808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0" w:customStyle="1">
    <w:name w:val="Grid Table 7 Colorful - Accent 2"/>
    <w:basedOn w:val="808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1" w:customStyle="1">
    <w:name w:val="Grid Table 7 Colorful - Accent 3"/>
    <w:basedOn w:val="808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2" w:customStyle="1">
    <w:name w:val="Grid Table 7 Colorful - Accent 4"/>
    <w:basedOn w:val="808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3" w:customStyle="1">
    <w:name w:val="Grid Table 7 Colorful - Accent 5"/>
    <w:basedOn w:val="808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4" w:customStyle="1">
    <w:name w:val="Grid Table 7 Colorful - Accent 6"/>
    <w:basedOn w:val="808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5" w:customStyle="1">
    <w:name w:val="Список-таблица 1 светлая1"/>
    <w:basedOn w:val="808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 w:customStyle="1">
    <w:name w:val="List Table 1 Light - Accent 1"/>
    <w:basedOn w:val="808"/>
    <w:uiPriority w:val="99"/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 w:customStyle="1">
    <w:name w:val="List Table 1 Light - Accent 2"/>
    <w:basedOn w:val="808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List Table 1 Light - Accent 3"/>
    <w:basedOn w:val="808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 w:customStyle="1">
    <w:name w:val="List Table 1 Light - Accent 4"/>
    <w:basedOn w:val="808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 w:customStyle="1">
    <w:name w:val="List Table 1 Light - Accent 5"/>
    <w:basedOn w:val="808"/>
    <w:uiPriority w:val="99"/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 w:customStyle="1">
    <w:name w:val="List Table 1 Light - Accent 6"/>
    <w:basedOn w:val="808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 w:customStyle="1">
    <w:name w:val="Список-таблица 21"/>
    <w:basedOn w:val="808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93" w:customStyle="1">
    <w:name w:val="List Table 2 - Accent 1"/>
    <w:basedOn w:val="808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94" w:customStyle="1">
    <w:name w:val="List Table 2 - Accent 2"/>
    <w:basedOn w:val="808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95" w:customStyle="1">
    <w:name w:val="List Table 2 - Accent 3"/>
    <w:basedOn w:val="808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96" w:customStyle="1">
    <w:name w:val="List Table 2 - Accent 4"/>
    <w:basedOn w:val="808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97" w:customStyle="1">
    <w:name w:val="List Table 2 - Accent 5"/>
    <w:basedOn w:val="808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98" w:customStyle="1">
    <w:name w:val="List Table 2 - Accent 6"/>
    <w:basedOn w:val="808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99" w:customStyle="1">
    <w:name w:val="Список-таблица 31"/>
    <w:basedOn w:val="808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 w:customStyle="1">
    <w:name w:val="List Table 3 - Accent 1"/>
    <w:basedOn w:val="808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 w:customStyle="1">
    <w:name w:val="List Table 3 - Accent 2"/>
    <w:basedOn w:val="808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 w:customStyle="1">
    <w:name w:val="List Table 3 - Accent 3"/>
    <w:basedOn w:val="808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 w:customStyle="1">
    <w:name w:val="List Table 3 - Accent 4"/>
    <w:basedOn w:val="808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 w:customStyle="1">
    <w:name w:val="List Table 3 - Accent 5"/>
    <w:basedOn w:val="808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 w:customStyle="1">
    <w:name w:val="List Table 3 - Accent 6"/>
    <w:basedOn w:val="808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 w:customStyle="1">
    <w:name w:val="Список-таблица 41"/>
    <w:basedOn w:val="808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 w:customStyle="1">
    <w:name w:val="List Table 4 - Accent 1"/>
    <w:basedOn w:val="808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 w:customStyle="1">
    <w:name w:val="List Table 4 - Accent 2"/>
    <w:basedOn w:val="808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 w:customStyle="1">
    <w:name w:val="List Table 4 - Accent 3"/>
    <w:basedOn w:val="808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 w:customStyle="1">
    <w:name w:val="List Table 4 - Accent 4"/>
    <w:basedOn w:val="808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 w:customStyle="1">
    <w:name w:val="List Table 4 - Accent 5"/>
    <w:basedOn w:val="808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 w:customStyle="1">
    <w:name w:val="List Table 4 - Accent 6"/>
    <w:basedOn w:val="808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 w:customStyle="1">
    <w:name w:val="Список-таблица 5 темная1"/>
    <w:basedOn w:val="808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4" w:customStyle="1">
    <w:name w:val="List Table 5 Dark - Accent 1"/>
    <w:basedOn w:val="808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5" w:customStyle="1">
    <w:name w:val="List Table 5 Dark - Accent 2"/>
    <w:basedOn w:val="808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6" w:customStyle="1">
    <w:name w:val="List Table 5 Dark - Accent 3"/>
    <w:basedOn w:val="808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7" w:customStyle="1">
    <w:name w:val="List Table 5 Dark - Accent 4"/>
    <w:basedOn w:val="808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8" w:customStyle="1">
    <w:name w:val="List Table 5 Dark - Accent 5"/>
    <w:basedOn w:val="808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9" w:customStyle="1">
    <w:name w:val="List Table 5 Dark - Accent 6"/>
    <w:basedOn w:val="808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0" w:customStyle="1">
    <w:name w:val="Список-таблица 6 цветная1"/>
    <w:basedOn w:val="808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21" w:customStyle="1">
    <w:name w:val="List Table 6 Colorful - Accent 1"/>
    <w:basedOn w:val="808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922" w:customStyle="1">
    <w:name w:val="List Table 6 Colorful - Accent 2"/>
    <w:basedOn w:val="808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923" w:customStyle="1">
    <w:name w:val="List Table 6 Colorful - Accent 3"/>
    <w:basedOn w:val="808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924" w:customStyle="1">
    <w:name w:val="List Table 6 Colorful - Accent 4"/>
    <w:basedOn w:val="808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925" w:customStyle="1">
    <w:name w:val="List Table 6 Colorful - Accent 5"/>
    <w:basedOn w:val="808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926" w:customStyle="1">
    <w:name w:val="List Table 6 Colorful - Accent 6"/>
    <w:basedOn w:val="808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927" w:customStyle="1">
    <w:name w:val="Список-таблица 7 цветная1"/>
    <w:basedOn w:val="808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28" w:customStyle="1">
    <w:name w:val="List Table 7 Colorful - Accent 1"/>
    <w:basedOn w:val="808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29" w:customStyle="1">
    <w:name w:val="List Table 7 Colorful - Accent 2"/>
    <w:basedOn w:val="808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30" w:customStyle="1">
    <w:name w:val="List Table 7 Colorful - Accent 3"/>
    <w:basedOn w:val="808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31" w:customStyle="1">
    <w:name w:val="List Table 7 Colorful - Accent 4"/>
    <w:basedOn w:val="808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32" w:customStyle="1">
    <w:name w:val="List Table 7 Colorful - Accent 5"/>
    <w:basedOn w:val="808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33" w:customStyle="1">
    <w:name w:val="List Table 7 Colorful - Accent 6"/>
    <w:basedOn w:val="808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34" w:customStyle="1">
    <w:name w:val="Lined - Accent"/>
    <w:basedOn w:val="80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35" w:customStyle="1">
    <w:name w:val="Lined - Accent 1"/>
    <w:basedOn w:val="80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36" w:customStyle="1">
    <w:name w:val="Lined - Accent 2"/>
    <w:basedOn w:val="80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37" w:customStyle="1">
    <w:name w:val="Lined - Accent 3"/>
    <w:basedOn w:val="80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38" w:customStyle="1">
    <w:name w:val="Lined - Accent 4"/>
    <w:basedOn w:val="80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39" w:customStyle="1">
    <w:name w:val="Lined - Accent 5"/>
    <w:basedOn w:val="80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40" w:customStyle="1">
    <w:name w:val="Lined - Accent 6"/>
    <w:basedOn w:val="80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41" w:customStyle="1">
    <w:name w:val="Bordered &amp; Lined - Accent"/>
    <w:basedOn w:val="808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42" w:customStyle="1">
    <w:name w:val="Bordered &amp; Lined - Accent 1"/>
    <w:basedOn w:val="808"/>
    <w:uiPriority w:val="99"/>
    <w:rPr>
      <w:color w:val="40404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43" w:customStyle="1">
    <w:name w:val="Bordered &amp; Lined - Accent 2"/>
    <w:basedOn w:val="808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44" w:customStyle="1">
    <w:name w:val="Bordered &amp; Lined - Accent 3"/>
    <w:basedOn w:val="808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45" w:customStyle="1">
    <w:name w:val="Bordered &amp; Lined - Accent 4"/>
    <w:basedOn w:val="808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46" w:customStyle="1">
    <w:name w:val="Bordered &amp; Lined - Accent 5"/>
    <w:basedOn w:val="808"/>
    <w:uiPriority w:val="99"/>
    <w:rPr>
      <w:color w:val="40404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47" w:customStyle="1">
    <w:name w:val="Bordered &amp; Lined - Accent 6"/>
    <w:basedOn w:val="808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48" w:customStyle="1">
    <w:name w:val="Bordered"/>
    <w:basedOn w:val="808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49" w:customStyle="1">
    <w:name w:val="Bordered - Accent 1"/>
    <w:basedOn w:val="808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50" w:customStyle="1">
    <w:name w:val="Bordered - Accent 2"/>
    <w:basedOn w:val="808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51" w:customStyle="1">
    <w:name w:val="Bordered - Accent 3"/>
    <w:basedOn w:val="808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52" w:customStyle="1">
    <w:name w:val="Bordered - Accent 4"/>
    <w:basedOn w:val="808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53" w:customStyle="1">
    <w:name w:val="Bordered - Accent 5"/>
    <w:basedOn w:val="808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954" w:customStyle="1">
    <w:name w:val="Bordered - Accent 6"/>
    <w:basedOn w:val="808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955">
    <w:name w:val="Hyperlink"/>
    <w:uiPriority w:val="99"/>
    <w:unhideWhenUsed/>
    <w:rPr>
      <w:color w:val="0563c1" w:themeColor="hyperlink"/>
      <w:u w:val="single"/>
    </w:rPr>
  </w:style>
  <w:style w:type="character" w:styleId="956" w:customStyle="1">
    <w:name w:val="Footnote Text Char"/>
    <w:uiPriority w:val="99"/>
    <w:rPr>
      <w:sz w:val="18"/>
    </w:rPr>
  </w:style>
  <w:style w:type="paragraph" w:styleId="957">
    <w:name w:val="endnote text"/>
    <w:basedOn w:val="797"/>
    <w:link w:val="958"/>
    <w:uiPriority w:val="99"/>
    <w:semiHidden/>
    <w:unhideWhenUsed/>
  </w:style>
  <w:style w:type="character" w:styleId="958" w:customStyle="1">
    <w:name w:val="Текст концевой сноски Знак"/>
    <w:link w:val="957"/>
    <w:uiPriority w:val="99"/>
    <w:rPr>
      <w:sz w:val="20"/>
    </w:rPr>
  </w:style>
  <w:style w:type="character" w:styleId="959">
    <w:name w:val="endnote reference"/>
    <w:basedOn w:val="807"/>
    <w:uiPriority w:val="99"/>
    <w:semiHidden/>
    <w:unhideWhenUsed/>
    <w:rPr>
      <w:vertAlign w:val="superscript"/>
    </w:rPr>
  </w:style>
  <w:style w:type="paragraph" w:styleId="960">
    <w:name w:val="toc 1"/>
    <w:basedOn w:val="797"/>
    <w:next w:val="797"/>
    <w:uiPriority w:val="39"/>
    <w:unhideWhenUsed/>
    <w:pPr>
      <w:spacing w:after="57"/>
    </w:pPr>
  </w:style>
  <w:style w:type="paragraph" w:styleId="961">
    <w:name w:val="toc 2"/>
    <w:basedOn w:val="797"/>
    <w:next w:val="797"/>
    <w:uiPriority w:val="39"/>
    <w:unhideWhenUsed/>
    <w:pPr>
      <w:ind w:left="283"/>
      <w:spacing w:after="57"/>
    </w:pPr>
  </w:style>
  <w:style w:type="paragraph" w:styleId="962">
    <w:name w:val="toc 3"/>
    <w:basedOn w:val="797"/>
    <w:next w:val="797"/>
    <w:uiPriority w:val="39"/>
    <w:unhideWhenUsed/>
    <w:pPr>
      <w:ind w:left="567"/>
      <w:spacing w:after="57"/>
    </w:pPr>
  </w:style>
  <w:style w:type="paragraph" w:styleId="963">
    <w:name w:val="toc 4"/>
    <w:basedOn w:val="797"/>
    <w:next w:val="797"/>
    <w:uiPriority w:val="39"/>
    <w:unhideWhenUsed/>
    <w:pPr>
      <w:ind w:left="850"/>
      <w:spacing w:after="57"/>
    </w:pPr>
  </w:style>
  <w:style w:type="paragraph" w:styleId="964">
    <w:name w:val="toc 5"/>
    <w:basedOn w:val="797"/>
    <w:next w:val="797"/>
    <w:uiPriority w:val="39"/>
    <w:unhideWhenUsed/>
    <w:pPr>
      <w:ind w:left="1134"/>
      <w:spacing w:after="57"/>
    </w:pPr>
  </w:style>
  <w:style w:type="paragraph" w:styleId="965">
    <w:name w:val="toc 6"/>
    <w:basedOn w:val="797"/>
    <w:next w:val="797"/>
    <w:uiPriority w:val="39"/>
    <w:unhideWhenUsed/>
    <w:pPr>
      <w:ind w:left="1417"/>
      <w:spacing w:after="57"/>
    </w:pPr>
  </w:style>
  <w:style w:type="paragraph" w:styleId="966">
    <w:name w:val="toc 7"/>
    <w:basedOn w:val="797"/>
    <w:next w:val="797"/>
    <w:uiPriority w:val="39"/>
    <w:unhideWhenUsed/>
    <w:pPr>
      <w:ind w:left="1701"/>
      <w:spacing w:after="57"/>
    </w:pPr>
  </w:style>
  <w:style w:type="paragraph" w:styleId="967">
    <w:name w:val="toc 8"/>
    <w:basedOn w:val="797"/>
    <w:next w:val="797"/>
    <w:uiPriority w:val="39"/>
    <w:unhideWhenUsed/>
    <w:pPr>
      <w:ind w:left="1984"/>
      <w:spacing w:after="57"/>
    </w:pPr>
  </w:style>
  <w:style w:type="paragraph" w:styleId="968">
    <w:name w:val="toc 9"/>
    <w:basedOn w:val="797"/>
    <w:next w:val="797"/>
    <w:uiPriority w:val="39"/>
    <w:unhideWhenUsed/>
    <w:pPr>
      <w:ind w:left="2268"/>
      <w:spacing w:after="57"/>
    </w:pPr>
  </w:style>
  <w:style w:type="paragraph" w:styleId="969">
    <w:name w:val="TOC Heading"/>
    <w:uiPriority w:val="39"/>
    <w:unhideWhenUsed/>
  </w:style>
  <w:style w:type="paragraph" w:styleId="970">
    <w:name w:val="table of figures"/>
    <w:basedOn w:val="797"/>
    <w:next w:val="797"/>
    <w:uiPriority w:val="99"/>
    <w:unhideWhenUsed/>
  </w:style>
  <w:style w:type="paragraph" w:styleId="971">
    <w:name w:val="Header"/>
    <w:basedOn w:val="797"/>
    <w:link w:val="97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72" w:customStyle="1">
    <w:name w:val="Верхний колонтитул Знак"/>
    <w:basedOn w:val="807"/>
    <w:link w:val="971"/>
    <w:uiPriority w:val="99"/>
  </w:style>
  <w:style w:type="paragraph" w:styleId="973">
    <w:name w:val="Footer"/>
    <w:basedOn w:val="797"/>
    <w:link w:val="97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74" w:customStyle="1">
    <w:name w:val="Нижний колонтитул Знак"/>
    <w:basedOn w:val="807"/>
    <w:link w:val="973"/>
    <w:uiPriority w:val="99"/>
  </w:style>
  <w:style w:type="paragraph" w:styleId="975" w:customStyle="1">
    <w:name w:val="ConsPlusTitle"/>
    <w:pPr>
      <w:widowControl w:val="off"/>
    </w:pPr>
    <w:rPr>
      <w:rFonts w:ascii="Arial" w:hAnsi="Arial" w:eastAsia="Times New Roman" w:cs="Arial"/>
      <w:b/>
      <w:bCs/>
    </w:rPr>
  </w:style>
  <w:style w:type="paragraph" w:styleId="976">
    <w:name w:val="Balloon Text"/>
    <w:basedOn w:val="797"/>
    <w:link w:val="977"/>
    <w:uiPriority w:val="99"/>
    <w:semiHidden/>
    <w:unhideWhenUsed/>
    <w:rPr>
      <w:rFonts w:ascii="Tahoma" w:hAnsi="Tahoma" w:cs="Tahoma"/>
      <w:sz w:val="16"/>
      <w:szCs w:val="16"/>
    </w:rPr>
  </w:style>
  <w:style w:type="character" w:styleId="977" w:customStyle="1">
    <w:name w:val="Текст выноски Знак"/>
    <w:link w:val="976"/>
    <w:uiPriority w:val="99"/>
    <w:semiHidden/>
    <w:rPr>
      <w:rFonts w:ascii="Tahoma" w:hAnsi="Tahoma" w:eastAsia="Times New Roman" w:cs="Tahoma"/>
      <w:sz w:val="16"/>
      <w:szCs w:val="16"/>
    </w:rPr>
  </w:style>
  <w:style w:type="character" w:styleId="978" w:customStyle="1">
    <w:name w:val="Заголовок 1 Знак"/>
    <w:link w:val="798"/>
    <w:uiPriority w:val="9"/>
    <w:rPr>
      <w:rFonts w:ascii="Cambria" w:hAnsi="Cambria" w:eastAsia="Times New Roman"/>
      <w:b/>
      <w:bCs/>
      <w:sz w:val="32"/>
      <w:szCs w:val="32"/>
    </w:rPr>
  </w:style>
  <w:style w:type="character" w:styleId="979" w:customStyle="1">
    <w:name w:val="Заголовок 2 Знак"/>
    <w:link w:val="799"/>
    <w:rPr>
      <w:rFonts w:ascii="Arial" w:hAnsi="Arial" w:eastAsia="Times New Roman" w:cs="Arial"/>
      <w:b/>
      <w:bCs/>
      <w:i/>
      <w:iCs/>
      <w:sz w:val="28"/>
      <w:szCs w:val="28"/>
    </w:rPr>
  </w:style>
  <w:style w:type="character" w:styleId="980" w:customStyle="1">
    <w:name w:val="Заголовок 3 Знак"/>
    <w:link w:val="800"/>
    <w:uiPriority w:val="9"/>
    <w:rPr>
      <w:rFonts w:ascii="Cambria" w:hAnsi="Cambria" w:eastAsia="Times New Roman"/>
      <w:b/>
      <w:bCs/>
      <w:sz w:val="26"/>
      <w:szCs w:val="26"/>
    </w:rPr>
  </w:style>
  <w:style w:type="paragraph" w:styleId="981">
    <w:name w:val="Body Text"/>
    <w:basedOn w:val="797"/>
    <w:link w:val="982"/>
    <w:uiPriority w:val="99"/>
    <w:pPr>
      <w:ind w:right="4109"/>
      <w:jc w:val="both"/>
    </w:pPr>
    <w:rPr>
      <w:rFonts w:eastAsia="Zhikaryov"/>
      <w:b/>
      <w:sz w:val="26"/>
    </w:rPr>
  </w:style>
  <w:style w:type="character" w:styleId="982" w:customStyle="1">
    <w:name w:val="Основной текст Знак"/>
    <w:link w:val="981"/>
    <w:uiPriority w:val="99"/>
    <w:rPr>
      <w:rFonts w:eastAsia="Zhikaryov"/>
      <w:b/>
      <w:sz w:val="26"/>
    </w:rPr>
  </w:style>
  <w:style w:type="paragraph" w:styleId="983">
    <w:name w:val="Body Text Indent"/>
    <w:basedOn w:val="797"/>
    <w:link w:val="984"/>
    <w:uiPriority w:val="99"/>
    <w:unhideWhenUsed/>
    <w:pPr>
      <w:ind w:left="283"/>
      <w:spacing w:after="120" w:line="276" w:lineRule="auto"/>
    </w:pPr>
    <w:rPr>
      <w:rFonts w:ascii="Calibri" w:hAnsi="Calibri" w:eastAsia="Calibri"/>
      <w:sz w:val="22"/>
      <w:szCs w:val="22"/>
      <w:lang w:eastAsia="en-US"/>
    </w:rPr>
  </w:style>
  <w:style w:type="character" w:styleId="984" w:customStyle="1">
    <w:name w:val="Основной текст с отступом Знак"/>
    <w:link w:val="983"/>
    <w:uiPriority w:val="99"/>
    <w:rPr>
      <w:rFonts w:ascii="Calibri" w:hAnsi="Calibri" w:eastAsia="Calibri"/>
      <w:sz w:val="22"/>
      <w:szCs w:val="22"/>
      <w:lang w:eastAsia="en-US"/>
    </w:rPr>
  </w:style>
  <w:style w:type="paragraph" w:styleId="985" w:customStyle="1">
    <w:name w:val="Всегда"/>
    <w:basedOn w:val="797"/>
    <w:uiPriority w:val="99"/>
    <w:pPr>
      <w:jc w:val="right"/>
    </w:pPr>
    <w:rPr>
      <w:b/>
      <w:sz w:val="28"/>
      <w:szCs w:val="28"/>
      <w:lang w:eastAsia="en-US"/>
    </w:rPr>
  </w:style>
  <w:style w:type="paragraph" w:styleId="986">
    <w:name w:val="List Paragraph"/>
    <w:basedOn w:val="797"/>
    <w:uiPriority w:val="34"/>
    <w:qFormat/>
    <w:pPr>
      <w:contextualSpacing/>
      <w:ind w:left="720"/>
    </w:pPr>
    <w:rPr>
      <w:sz w:val="26"/>
    </w:rPr>
  </w:style>
  <w:style w:type="paragraph" w:styleId="987" w:customStyle="1">
    <w:name w:val="ConsPlusNormal"/>
    <w:link w:val="1000"/>
    <w:pPr>
      <w:ind w:firstLine="720"/>
    </w:pPr>
    <w:rPr>
      <w:rFonts w:ascii="Arial" w:hAnsi="Arial" w:eastAsia="Times New Roman" w:cs="Arial"/>
    </w:rPr>
  </w:style>
  <w:style w:type="paragraph" w:styleId="988" w:customStyle="1">
    <w:name w:val="Абзац списка1"/>
    <w:basedOn w:val="797"/>
    <w:pPr>
      <w:ind w:left="720"/>
    </w:pPr>
    <w:rPr>
      <w:rFonts w:eastAsia="Calibri"/>
    </w:rPr>
  </w:style>
  <w:style w:type="paragraph" w:styleId="989" w:customStyle="1">
    <w:name w:val="Default"/>
    <w:rPr>
      <w:rFonts w:eastAsia="Times New Roman"/>
      <w:color w:val="000000"/>
      <w:sz w:val="24"/>
      <w:szCs w:val="24"/>
    </w:rPr>
  </w:style>
  <w:style w:type="paragraph" w:styleId="990">
    <w:name w:val="No Spacing"/>
    <w:uiPriority w:val="1"/>
    <w:qFormat/>
    <w:rPr>
      <w:rFonts w:eastAsia="Times New Roman"/>
      <w:sz w:val="26"/>
    </w:rPr>
  </w:style>
  <w:style w:type="paragraph" w:styleId="991">
    <w:name w:val="footnote text"/>
    <w:basedOn w:val="797"/>
    <w:link w:val="992"/>
    <w:uiPriority w:val="99"/>
    <w:unhideWhenUsed/>
  </w:style>
  <w:style w:type="character" w:styleId="992" w:customStyle="1">
    <w:name w:val="Текст сноски Знак"/>
    <w:link w:val="991"/>
    <w:uiPriority w:val="99"/>
    <w:rPr>
      <w:rFonts w:eastAsia="Times New Roman"/>
    </w:rPr>
  </w:style>
  <w:style w:type="character" w:styleId="993" w:customStyle="1">
    <w:name w:val="apple-converted-space"/>
  </w:style>
  <w:style w:type="paragraph" w:styleId="994">
    <w:name w:val="Normal (Web)"/>
    <w:basedOn w:val="797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styleId="995" w:customStyle="1">
    <w:name w:val="Основной текст 3 Знак"/>
    <w:link w:val="996"/>
    <w:uiPriority w:val="99"/>
    <w:semiHidden/>
    <w:rPr>
      <w:rFonts w:ascii="Calibri" w:hAnsi="Calibri" w:eastAsia="Times New Roman"/>
      <w:sz w:val="16"/>
      <w:szCs w:val="16"/>
    </w:rPr>
  </w:style>
  <w:style w:type="paragraph" w:styleId="996">
    <w:name w:val="Body Text 3"/>
    <w:basedOn w:val="797"/>
    <w:link w:val="995"/>
    <w:uiPriority w:val="99"/>
    <w:semiHidden/>
    <w:unhideWhenUsed/>
    <w:pPr>
      <w:spacing w:after="120" w:line="276" w:lineRule="auto"/>
    </w:pPr>
    <w:rPr>
      <w:rFonts w:ascii="Calibri" w:hAnsi="Calibri"/>
      <w:sz w:val="16"/>
      <w:szCs w:val="16"/>
    </w:rPr>
  </w:style>
  <w:style w:type="character" w:styleId="997" w:customStyle="1">
    <w:name w:val="Основной текст 3 Знак1"/>
    <w:uiPriority w:val="99"/>
    <w:semiHidden/>
    <w:rPr>
      <w:rFonts w:eastAsia="Times New Roman"/>
      <w:sz w:val="16"/>
      <w:szCs w:val="16"/>
    </w:rPr>
  </w:style>
  <w:style w:type="paragraph" w:styleId="998" w:customStyle="1">
    <w:name w:val="Знак Знак Знак Знак"/>
    <w:basedOn w:val="797"/>
    <w:rPr>
      <w:rFonts w:ascii="Verdana" w:hAnsi="Verdana" w:cs="Verdana"/>
      <w:lang w:val="en-US" w:eastAsia="en-US"/>
    </w:rPr>
  </w:style>
  <w:style w:type="character" w:styleId="999">
    <w:name w:val="FollowedHyperlink"/>
    <w:uiPriority w:val="99"/>
    <w:semiHidden/>
    <w:unhideWhenUsed/>
    <w:rPr>
      <w:color w:val="800080"/>
      <w:u w:val="single"/>
    </w:rPr>
  </w:style>
  <w:style w:type="character" w:styleId="1000" w:customStyle="1">
    <w:name w:val="ConsPlusNormal Знак"/>
    <w:link w:val="987"/>
    <w:rPr>
      <w:rFonts w:ascii="Arial" w:hAnsi="Arial" w:eastAsia="Times New Roman" w:cs="Arial"/>
    </w:rPr>
  </w:style>
  <w:style w:type="character" w:styleId="1001">
    <w:name w:val="annotation reference"/>
    <w:uiPriority w:val="99"/>
    <w:semiHidden/>
    <w:unhideWhenUsed/>
    <w:rPr>
      <w:sz w:val="16"/>
      <w:szCs w:val="16"/>
    </w:rPr>
  </w:style>
  <w:style w:type="paragraph" w:styleId="1002">
    <w:name w:val="annotation text"/>
    <w:basedOn w:val="797"/>
    <w:link w:val="1003"/>
    <w:uiPriority w:val="99"/>
    <w:semiHidden/>
    <w:unhideWhenUsed/>
  </w:style>
  <w:style w:type="character" w:styleId="1003" w:customStyle="1">
    <w:name w:val="Текст примечания Знак"/>
    <w:link w:val="1002"/>
    <w:uiPriority w:val="99"/>
    <w:semiHidden/>
    <w:rPr>
      <w:rFonts w:eastAsia="Times New Roman"/>
    </w:rPr>
  </w:style>
  <w:style w:type="paragraph" w:styleId="1004">
    <w:name w:val="annotation subject"/>
    <w:basedOn w:val="1002"/>
    <w:next w:val="1002"/>
    <w:link w:val="1005"/>
    <w:uiPriority w:val="99"/>
    <w:semiHidden/>
    <w:unhideWhenUsed/>
    <w:rPr>
      <w:b/>
      <w:bCs/>
    </w:rPr>
  </w:style>
  <w:style w:type="character" w:styleId="1005" w:customStyle="1">
    <w:name w:val="Тема примечания Знак"/>
    <w:link w:val="1004"/>
    <w:uiPriority w:val="99"/>
    <w:semiHidden/>
    <w:rPr>
      <w:rFonts w:eastAsia="Times New Roman"/>
      <w:b/>
      <w:bCs/>
    </w:rPr>
  </w:style>
  <w:style w:type="paragraph" w:styleId="1006">
    <w:name w:val="Revision"/>
    <w:hidden/>
    <w:uiPriority w:val="99"/>
    <w:semiHidden/>
    <w:rPr>
      <w:rFonts w:eastAsia="Times New Roman"/>
    </w:rPr>
  </w:style>
  <w:style w:type="paragraph" w:styleId="1007">
    <w:name w:val="Title"/>
    <w:basedOn w:val="797"/>
    <w:link w:val="1008"/>
    <w:qFormat/>
    <w:pPr>
      <w:jc w:val="center"/>
    </w:pPr>
    <w:rPr>
      <w:sz w:val="24"/>
    </w:rPr>
  </w:style>
  <w:style w:type="character" w:styleId="1008" w:customStyle="1">
    <w:name w:val="Название Знак"/>
    <w:link w:val="1007"/>
    <w:rPr>
      <w:rFonts w:eastAsia="Times New Roman"/>
      <w:sz w:val="24"/>
    </w:rPr>
  </w:style>
  <w:style w:type="character" w:styleId="1009">
    <w:name w:val="footnote reference"/>
    <w:uiPriority w:val="99"/>
    <w:semiHidden/>
    <w:unhideWhenUsed/>
    <w:rPr>
      <w:vertAlign w:val="superscript"/>
    </w:rPr>
  </w:style>
  <w:style w:type="table" w:styleId="1010">
    <w:name w:val="Table Grid"/>
    <w:basedOn w:val="808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11" w:customStyle="1">
    <w:name w:val="pboth"/>
    <w:basedOn w:val="79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Relationship Id="rId13" Type="http://schemas.openxmlformats.org/officeDocument/2006/relationships/hyperlink" Target="consultantplus://offline/ref=FDA1421FB7062CAD60DA05C3C2CDDD37043F57CA7739719681D19329E64C7532CE9DE00460F7214F5322835DCCF0323BAC4FE7556FBAD3d2G" TargetMode="External"/><Relationship Id="rId14" Type="http://schemas.openxmlformats.org/officeDocument/2006/relationships/hyperlink" Target="consultantplus://offline/ref=B29594587EE730D4B96421DAD424AD0ED896B1C8B4BF509A9F0093AE4087EB839DC2F2F9004728C4609FA38EF056Q9N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B4D80-FA60-447A-A95E-C80A8F775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Караулова Наталья Владимировна</dc:creator>
  <cp:revision>17</cp:revision>
  <dcterms:created xsi:type="dcterms:W3CDTF">2024-10-09T06:20:00Z</dcterms:created>
  <dcterms:modified xsi:type="dcterms:W3CDTF">2024-10-10T06:51:44Z</dcterms:modified>
</cp:coreProperties>
</file>